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89592" w14:textId="513B7D6D" w:rsidR="00551713" w:rsidRDefault="00551713" w:rsidP="008112C8">
      <w:pPr>
        <w:pStyle w:val="NormalWeb"/>
        <w:shd w:val="clear" w:color="auto" w:fill="FFFFFF"/>
        <w:spacing w:before="0" w:beforeAutospacing="0" w:after="0" w:afterAutospacing="0"/>
        <w:jc w:val="center"/>
        <w:textAlignment w:val="baseline"/>
        <w:rPr>
          <w:noProof/>
        </w:rPr>
      </w:pPr>
    </w:p>
    <w:p w14:paraId="6C3F751E" w14:textId="074CB9CC" w:rsidR="00551713" w:rsidRDefault="008453AE" w:rsidP="008453AE">
      <w:pPr>
        <w:pStyle w:val="NormalWeb"/>
        <w:shd w:val="clear" w:color="auto" w:fill="FFFFFF"/>
        <w:spacing w:before="0" w:beforeAutospacing="0" w:after="0" w:afterAutospacing="0"/>
        <w:jc w:val="center"/>
        <w:textAlignment w:val="baseline"/>
        <w:rPr>
          <w:noProof/>
        </w:rPr>
      </w:pPr>
      <w:r>
        <w:rPr>
          <w:noProof/>
          <w:lang w:val="es-CL" w:eastAsia="es-CL"/>
        </w:rPr>
        <w:drawing>
          <wp:inline distT="0" distB="0" distL="0" distR="0" wp14:anchorId="4161DED5" wp14:editId="6C000FFF">
            <wp:extent cx="3695700" cy="999368"/>
            <wp:effectExtent l="0" t="0" r="0" b="0"/>
            <wp:docPr id="9254588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3486" cy="1025811"/>
                    </a:xfrm>
                    <a:prstGeom prst="rect">
                      <a:avLst/>
                    </a:prstGeom>
                    <a:noFill/>
                  </pic:spPr>
                </pic:pic>
              </a:graphicData>
            </a:graphic>
          </wp:inline>
        </w:drawing>
      </w:r>
    </w:p>
    <w:p w14:paraId="44B04370" w14:textId="77777777" w:rsidR="00927416" w:rsidRPr="003658A7" w:rsidRDefault="00927416" w:rsidP="00ED6409">
      <w:pPr>
        <w:pStyle w:val="NormalWeb"/>
        <w:shd w:val="clear" w:color="auto" w:fill="FFFFFF"/>
        <w:spacing w:before="0" w:beforeAutospacing="0" w:after="0" w:afterAutospacing="0"/>
        <w:jc w:val="center"/>
        <w:textAlignment w:val="baseline"/>
        <w:rPr>
          <w:rStyle w:val="Textoennegrita"/>
          <w:rFonts w:asciiTheme="minorHAnsi" w:eastAsiaTheme="majorEastAsia" w:hAnsiTheme="minorHAnsi" w:cstheme="minorHAnsi"/>
          <w:color w:val="272727"/>
          <w:sz w:val="16"/>
          <w:szCs w:val="16"/>
          <w:bdr w:val="none" w:sz="0" w:space="0" w:color="auto" w:frame="1"/>
        </w:rPr>
      </w:pPr>
    </w:p>
    <w:p w14:paraId="1C3C7AE4" w14:textId="5C04F4D8" w:rsidR="003658A7" w:rsidRPr="003658A7" w:rsidRDefault="003658A7" w:rsidP="003658A7">
      <w:pPr>
        <w:pStyle w:val="NormalWeb"/>
        <w:shd w:val="clear" w:color="auto" w:fill="FFFFFF"/>
        <w:spacing w:before="0" w:beforeAutospacing="0" w:after="0" w:afterAutospacing="0"/>
        <w:jc w:val="center"/>
        <w:textAlignment w:val="baseline"/>
        <w:rPr>
          <w:rFonts w:asciiTheme="minorHAnsi" w:eastAsiaTheme="majorEastAsia" w:hAnsiTheme="minorHAnsi" w:cstheme="minorHAnsi"/>
          <w:b/>
          <w:bCs/>
          <w:color w:val="272727"/>
          <w:sz w:val="28"/>
          <w:szCs w:val="28"/>
          <w:bdr w:val="none" w:sz="0" w:space="0" w:color="auto" w:frame="1"/>
          <w:lang w:val="pt-PT"/>
        </w:rPr>
      </w:pPr>
      <w:r w:rsidRPr="00FC1C47">
        <w:rPr>
          <w:rFonts w:asciiTheme="minorHAnsi" w:eastAsiaTheme="majorEastAsia" w:hAnsiTheme="minorHAnsi" w:cstheme="minorHAnsi"/>
          <w:b/>
          <w:bCs/>
          <w:color w:val="272727"/>
          <w:sz w:val="56"/>
          <w:szCs w:val="56"/>
          <w:bdr w:val="none" w:sz="0" w:space="0" w:color="auto" w:frame="1"/>
          <w:lang w:val="pt-PT"/>
        </w:rPr>
        <w:t>VII CUMBRE ACADÉMICA</w:t>
      </w:r>
      <w:r w:rsidRPr="00FC1C47">
        <w:rPr>
          <w:rFonts w:asciiTheme="minorHAnsi" w:eastAsiaTheme="majorEastAsia" w:hAnsiTheme="minorHAnsi" w:cstheme="minorHAnsi"/>
          <w:b/>
          <w:bCs/>
          <w:color w:val="272727"/>
          <w:sz w:val="56"/>
          <w:szCs w:val="56"/>
          <w:bdr w:val="none" w:sz="0" w:space="0" w:color="auto" w:frame="1"/>
          <w:lang w:val="pt-PT"/>
        </w:rPr>
        <w:br/>
      </w:r>
      <w:r w:rsidRPr="003658A7">
        <w:rPr>
          <w:rFonts w:asciiTheme="minorHAnsi" w:eastAsiaTheme="majorEastAsia" w:hAnsiTheme="minorHAnsi" w:cstheme="minorHAnsi"/>
          <w:b/>
          <w:bCs/>
          <w:color w:val="272727"/>
          <w:sz w:val="28"/>
          <w:szCs w:val="28"/>
          <w:bdr w:val="none" w:sz="0" w:space="0" w:color="auto" w:frame="1"/>
          <w:lang w:val="pt-PT"/>
        </w:rPr>
        <w:t>UNIÓN EUROPEA – AMÉRICA LATINA Y EL CARIBE</w:t>
      </w:r>
    </w:p>
    <w:p w14:paraId="31F37959" w14:textId="77777777" w:rsidR="003658A7" w:rsidRPr="003658A7" w:rsidRDefault="003658A7" w:rsidP="003658A7">
      <w:pPr>
        <w:pStyle w:val="NormalWeb"/>
        <w:shd w:val="clear" w:color="auto" w:fill="FFFFFF"/>
        <w:spacing w:before="0" w:beforeAutospacing="0" w:after="0" w:afterAutospacing="0"/>
        <w:jc w:val="center"/>
        <w:textAlignment w:val="baseline"/>
        <w:rPr>
          <w:rFonts w:asciiTheme="minorHAnsi" w:eastAsiaTheme="majorEastAsia" w:hAnsiTheme="minorHAnsi" w:cstheme="minorHAnsi"/>
          <w:b/>
          <w:bCs/>
          <w:color w:val="272727"/>
          <w:sz w:val="16"/>
          <w:szCs w:val="16"/>
          <w:bdr w:val="none" w:sz="0" w:space="0" w:color="auto" w:frame="1"/>
          <w:lang w:val="pt-PT"/>
        </w:rPr>
      </w:pPr>
    </w:p>
    <w:p w14:paraId="57433D7D" w14:textId="54573E07" w:rsidR="003658A7" w:rsidRPr="003658A7" w:rsidRDefault="003658A7" w:rsidP="003658A7">
      <w:pPr>
        <w:pStyle w:val="NormalWeb"/>
        <w:shd w:val="clear" w:color="auto" w:fill="FFFFFF"/>
        <w:spacing w:before="0" w:beforeAutospacing="0" w:after="0" w:afterAutospacing="0"/>
        <w:jc w:val="center"/>
        <w:textAlignment w:val="baseline"/>
        <w:rPr>
          <w:rFonts w:asciiTheme="minorHAnsi" w:eastAsiaTheme="majorEastAsia" w:hAnsiTheme="minorHAnsi" w:cstheme="minorHAnsi"/>
          <w:b/>
          <w:bCs/>
          <w:color w:val="272727"/>
          <w:sz w:val="32"/>
          <w:szCs w:val="32"/>
          <w:bdr w:val="none" w:sz="0" w:space="0" w:color="auto" w:frame="1"/>
          <w:lang w:val="pt-PT"/>
        </w:rPr>
      </w:pPr>
      <w:r w:rsidRPr="003658A7">
        <w:rPr>
          <w:rFonts w:asciiTheme="minorHAnsi" w:eastAsiaTheme="majorEastAsia" w:hAnsiTheme="minorHAnsi" w:cstheme="minorHAnsi"/>
          <w:b/>
          <w:bCs/>
          <w:color w:val="272727"/>
          <w:sz w:val="22"/>
          <w:szCs w:val="22"/>
          <w:bdr w:val="none" w:sz="0" w:space="0" w:color="auto" w:frame="1"/>
          <w:lang w:val="pt-PT"/>
        </w:rPr>
        <w:t>UNIVERSIDAD PORTUCALENSE Y UNIVERSIDAD DE MAIA</w:t>
      </w:r>
      <w:r w:rsidRPr="003658A7">
        <w:rPr>
          <w:rFonts w:asciiTheme="minorHAnsi" w:eastAsiaTheme="majorEastAsia" w:hAnsiTheme="minorHAnsi" w:cstheme="minorHAnsi"/>
          <w:b/>
          <w:bCs/>
          <w:color w:val="272727"/>
          <w:sz w:val="22"/>
          <w:szCs w:val="22"/>
          <w:bdr w:val="none" w:sz="0" w:space="0" w:color="auto" w:frame="1"/>
          <w:lang w:val="pt-PT"/>
        </w:rPr>
        <w:br/>
      </w:r>
      <w:r>
        <w:rPr>
          <w:rFonts w:asciiTheme="minorHAnsi" w:eastAsiaTheme="majorEastAsia" w:hAnsiTheme="minorHAnsi" w:cstheme="minorHAnsi"/>
          <w:b/>
          <w:bCs/>
          <w:color w:val="272727"/>
          <w:sz w:val="20"/>
          <w:szCs w:val="20"/>
          <w:bdr w:val="none" w:sz="0" w:space="0" w:color="auto" w:frame="1"/>
          <w:lang w:val="pt-PT"/>
        </w:rPr>
        <w:t xml:space="preserve">- </w:t>
      </w:r>
      <w:r w:rsidRPr="003658A7">
        <w:rPr>
          <w:rFonts w:asciiTheme="minorHAnsi" w:eastAsiaTheme="majorEastAsia" w:hAnsiTheme="minorHAnsi" w:cstheme="minorHAnsi"/>
          <w:b/>
          <w:bCs/>
          <w:color w:val="272727"/>
          <w:sz w:val="20"/>
          <w:szCs w:val="20"/>
          <w:bdr w:val="none" w:sz="0" w:space="0" w:color="auto" w:frame="1"/>
          <w:lang w:val="pt-PT"/>
        </w:rPr>
        <w:t>Porto y Maia (Portugal), 21–23 de octubre de 2026</w:t>
      </w:r>
      <w:r>
        <w:rPr>
          <w:rFonts w:asciiTheme="minorHAnsi" w:eastAsiaTheme="majorEastAsia" w:hAnsiTheme="minorHAnsi" w:cstheme="minorHAnsi"/>
          <w:b/>
          <w:bCs/>
          <w:color w:val="272727"/>
          <w:sz w:val="20"/>
          <w:szCs w:val="20"/>
          <w:bdr w:val="none" w:sz="0" w:space="0" w:color="auto" w:frame="1"/>
          <w:lang w:val="pt-PT"/>
        </w:rPr>
        <w:t xml:space="preserve"> -</w:t>
      </w:r>
    </w:p>
    <w:p w14:paraId="577CD223" w14:textId="77777777" w:rsidR="001346E3" w:rsidRPr="00A82B82" w:rsidRDefault="001346E3" w:rsidP="001346E3">
      <w:pPr>
        <w:pStyle w:val="NormalWeb"/>
        <w:shd w:val="clear" w:color="auto" w:fill="FFFFFF"/>
        <w:spacing w:before="0" w:beforeAutospacing="0" w:after="0" w:afterAutospacing="0"/>
        <w:jc w:val="center"/>
        <w:textAlignment w:val="baseline"/>
        <w:rPr>
          <w:rFonts w:asciiTheme="minorHAnsi" w:eastAsiaTheme="majorEastAsia" w:hAnsiTheme="minorHAnsi" w:cstheme="minorHAnsi"/>
          <w:b/>
          <w:bCs/>
          <w:color w:val="272727"/>
          <w:sz w:val="28"/>
          <w:szCs w:val="28"/>
          <w:bdr w:val="none" w:sz="0" w:space="0" w:color="auto" w:frame="1"/>
          <w:lang w:val="pt-PT"/>
        </w:rPr>
      </w:pPr>
    </w:p>
    <w:p w14:paraId="1E733950" w14:textId="07A25516" w:rsidR="00ED6409" w:rsidRPr="00FB0574" w:rsidRDefault="00ED6409" w:rsidP="00ED6409">
      <w:pPr>
        <w:pStyle w:val="NormalWeb"/>
        <w:shd w:val="clear" w:color="auto" w:fill="FFFFFF"/>
        <w:spacing w:before="0" w:beforeAutospacing="0" w:after="0" w:afterAutospacing="0"/>
        <w:jc w:val="center"/>
        <w:textAlignment w:val="baseline"/>
        <w:rPr>
          <w:rFonts w:ascii="Arial" w:hAnsi="Arial" w:cs="Arial"/>
          <w:b/>
          <w:bCs/>
          <w:color w:val="272727"/>
          <w:sz w:val="32"/>
          <w:szCs w:val="32"/>
        </w:rPr>
      </w:pPr>
      <w:r w:rsidRPr="00FB0574">
        <w:rPr>
          <w:rFonts w:ascii="Arial" w:hAnsi="Arial" w:cs="Arial"/>
          <w:b/>
          <w:bCs/>
          <w:color w:val="272727"/>
          <w:sz w:val="32"/>
          <w:szCs w:val="32"/>
        </w:rPr>
        <w:t>CONVOCAT</w:t>
      </w:r>
      <w:r w:rsidR="003658A7">
        <w:rPr>
          <w:rFonts w:ascii="Arial" w:hAnsi="Arial" w:cs="Arial"/>
          <w:b/>
          <w:bCs/>
          <w:color w:val="272727"/>
          <w:sz w:val="32"/>
          <w:szCs w:val="32"/>
        </w:rPr>
        <w:t>O</w:t>
      </w:r>
      <w:r w:rsidRPr="00FB0574">
        <w:rPr>
          <w:rFonts w:ascii="Arial" w:hAnsi="Arial" w:cs="Arial"/>
          <w:b/>
          <w:bCs/>
          <w:color w:val="272727"/>
          <w:sz w:val="32"/>
          <w:szCs w:val="32"/>
        </w:rPr>
        <w:t>RIA</w:t>
      </w:r>
    </w:p>
    <w:p w14:paraId="456A6AA2" w14:textId="77777777" w:rsidR="00ED6409" w:rsidRPr="00A82B82" w:rsidRDefault="00ED6409" w:rsidP="00ED6409">
      <w:pPr>
        <w:pStyle w:val="NormalWeb"/>
        <w:shd w:val="clear" w:color="auto" w:fill="FFFFFF"/>
        <w:spacing w:before="0" w:beforeAutospacing="0" w:after="0" w:afterAutospacing="0"/>
        <w:jc w:val="center"/>
        <w:textAlignment w:val="baseline"/>
        <w:rPr>
          <w:rFonts w:ascii="Arial" w:hAnsi="Arial" w:cs="Arial"/>
          <w:b/>
          <w:bCs/>
          <w:color w:val="272727"/>
        </w:rPr>
      </w:pPr>
    </w:p>
    <w:p w14:paraId="6C47CBC5" w14:textId="77777777"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lang w:val="pt-PT"/>
        </w:rPr>
      </w:pPr>
      <w:bookmarkStart w:id="0" w:name="_Hlk234492285"/>
      <w:r w:rsidRPr="003658A7">
        <w:rPr>
          <w:rFonts w:asciiTheme="minorHAnsi" w:hAnsiTheme="minorHAnsi" w:cstheme="minorHAnsi"/>
          <w:lang w:val="pt-PT"/>
        </w:rPr>
        <w:t>Bajo el Alto Patrocinio de Su Excelencia el Presidente de la República Portuguesa, el Foro Académico Permanente América Latina y el Caribe–Unión Europea (FAP ALC–UE) y la Asociación Portuguesa de Enseñanza Superior Privada (APESP), en colaboración con las instituciones anfitrionas, la Universidad de Maia y la Universidad Portucalense, invitan a la comunidad académica de América Latina, el Caribe y la Unión Europea a participar en la VII Cumbre Académica Unión Europea–América Latina y el Caribe, que se celebrará en Porto y Maia, Portugal, los días 21, 22 y 23 de octubre de 2026.</w:t>
      </w:r>
    </w:p>
    <w:p w14:paraId="2E8B9B36" w14:textId="77777777"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sz w:val="16"/>
          <w:szCs w:val="16"/>
          <w:lang w:val="pt-PT"/>
        </w:rPr>
      </w:pPr>
    </w:p>
    <w:p w14:paraId="196130EA" w14:textId="773104A1"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lang w:val="pt-PT"/>
        </w:rPr>
      </w:pPr>
      <w:r w:rsidRPr="00004424">
        <w:rPr>
          <w:rFonts w:asciiTheme="minorHAnsi" w:hAnsiTheme="minorHAnsi" w:cstheme="minorHAnsi"/>
          <w:lang w:val="es-CL"/>
        </w:rPr>
        <w:t xml:space="preserve">Trece años después del inicio de este proceso, la VII Cumbre Académica tratará de contribuir a la consolidación del Espacio Común de Educación Superior, Ciencia, Tecnología e Innovación entre ambas regiones mediante la presentación de propuestas y recomendaciones, así como de un proyecto de Acuerdo Birregional de Integración Académica, que se incorporarán a la Declaración de Porto. </w:t>
      </w:r>
      <w:r w:rsidRPr="003658A7">
        <w:rPr>
          <w:rFonts w:asciiTheme="minorHAnsi" w:hAnsiTheme="minorHAnsi" w:cstheme="minorHAnsi"/>
          <w:lang w:val="pt-PT"/>
        </w:rPr>
        <w:t>Esta será remitida a los Jefes de Estado y de Gobierno participantes en la XXX Cumbre Iberoamericana, que se celebrará en Madrid en 2026, y en la V Cumbre CELAC–UE, que tendrá lugar en Bruselas en 2027.</w:t>
      </w:r>
    </w:p>
    <w:p w14:paraId="64379DE7" w14:textId="77777777"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sz w:val="16"/>
          <w:szCs w:val="16"/>
          <w:lang w:val="pt-PT"/>
        </w:rPr>
      </w:pPr>
    </w:p>
    <w:p w14:paraId="409E4DA9" w14:textId="2F8A359D"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lang w:val="pt-PT"/>
        </w:rPr>
      </w:pPr>
      <w:r w:rsidRPr="003658A7">
        <w:rPr>
          <w:rFonts w:asciiTheme="minorHAnsi" w:hAnsiTheme="minorHAnsi" w:cstheme="minorHAnsi"/>
          <w:lang w:val="pt-PT"/>
        </w:rPr>
        <w:t>La Cumbre da continuidad al proceso iniciado en Santiago de Chile (2013), Bruselas (2015), Córdoba (2018), Bucarest (2022), Alcalá de Henares (2023) y Bogotá (2025), inspirado en las Declaraciones Conjuntas ALC–UE y CELAC–UE y en el Plan de Acción CELAC–UE de 2015, especialmente en los capítulos dedicados a la Educación Superior, la Ciencia, la Investigación, la Innovación y la Tecnología.</w:t>
      </w:r>
    </w:p>
    <w:p w14:paraId="485A890B" w14:textId="77777777"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sz w:val="16"/>
          <w:szCs w:val="16"/>
          <w:lang w:val="pt-PT"/>
        </w:rPr>
      </w:pPr>
    </w:p>
    <w:p w14:paraId="14161F45" w14:textId="147ADC1A" w:rsidR="003658A7" w:rsidRPr="003658A7" w:rsidRDefault="003658A7" w:rsidP="003658A7">
      <w:pPr>
        <w:pStyle w:val="NormalWeb"/>
        <w:shd w:val="clear" w:color="auto" w:fill="FFFFFF"/>
        <w:spacing w:before="0" w:beforeAutospacing="0" w:after="0" w:afterAutospacing="0"/>
        <w:jc w:val="both"/>
        <w:textAlignment w:val="baseline"/>
        <w:rPr>
          <w:rFonts w:asciiTheme="minorHAnsi" w:hAnsiTheme="minorHAnsi" w:cstheme="minorHAnsi"/>
          <w:lang w:val="pt-PT"/>
        </w:rPr>
      </w:pPr>
      <w:r w:rsidRPr="003658A7">
        <w:rPr>
          <w:rFonts w:asciiTheme="minorHAnsi" w:hAnsiTheme="minorHAnsi" w:cstheme="minorHAnsi"/>
          <w:lang w:val="pt-PT"/>
        </w:rPr>
        <w:t>El proyecto del Espacio Común cuenta con la participación de más de 2.000 dirigentes académicos, docentes, investigadores y estudiantes de ambas regiones, así como con el apoyo de EUROLAT, la Secretaría de Estado de Educación Superior del Gobierno portugués, el Senado de España, la OEI, la ESN, UNESCO–IESALC, la RIBER, el Millennium Project Global Futures Studies and Research, el Foro ASETT, el Grupo América Latina del Grupo Coimbra, el Rectoral Board y la OUI.</w:t>
      </w:r>
    </w:p>
    <w:p w14:paraId="7C68E0C6" w14:textId="77777777" w:rsidR="001346E3" w:rsidRPr="00270F97" w:rsidRDefault="001346E3" w:rsidP="001346E3">
      <w:pPr>
        <w:pStyle w:val="NormalWeb"/>
        <w:shd w:val="clear" w:color="auto" w:fill="FFFFFF"/>
        <w:spacing w:before="0" w:beforeAutospacing="0" w:after="0" w:afterAutospacing="0"/>
        <w:jc w:val="both"/>
        <w:textAlignment w:val="baseline"/>
        <w:rPr>
          <w:rFonts w:asciiTheme="minorHAnsi" w:hAnsiTheme="minorHAnsi" w:cstheme="minorHAnsi"/>
          <w:sz w:val="16"/>
          <w:szCs w:val="16"/>
          <w:lang w:val="pt-PT"/>
        </w:rPr>
      </w:pPr>
    </w:p>
    <w:p w14:paraId="79B514EF" w14:textId="77777777" w:rsidR="003658A7" w:rsidRPr="003658A7" w:rsidRDefault="003658A7" w:rsidP="003658A7">
      <w:pPr>
        <w:pStyle w:val="NormalWeb"/>
        <w:shd w:val="clear" w:color="auto" w:fill="FFFFFF"/>
        <w:spacing w:before="0" w:beforeAutospacing="0" w:after="0" w:afterAutospacing="0"/>
        <w:jc w:val="center"/>
        <w:textAlignment w:val="baseline"/>
        <w:rPr>
          <w:rFonts w:asciiTheme="minorHAnsi" w:hAnsiTheme="minorHAnsi" w:cstheme="minorHAnsi"/>
          <w:sz w:val="20"/>
          <w:szCs w:val="20"/>
          <w:lang w:val="pt-PT"/>
        </w:rPr>
      </w:pPr>
      <w:r w:rsidRPr="003658A7">
        <w:rPr>
          <w:rFonts w:asciiTheme="minorHAnsi" w:hAnsiTheme="minorHAnsi" w:cstheme="minorHAnsi"/>
          <w:sz w:val="20"/>
          <w:szCs w:val="20"/>
          <w:lang w:val="pt-PT"/>
        </w:rPr>
        <w:t>Para obtener más información sobre las anteriores Cumbres Académicas y la documentación correspondiente, se recomienda consultar:</w:t>
      </w:r>
    </w:p>
    <w:p w14:paraId="1FFD63C9" w14:textId="77777777" w:rsidR="00973920" w:rsidRDefault="00A169C6" w:rsidP="00973920">
      <w:pPr>
        <w:pStyle w:val="NormalWeb"/>
        <w:shd w:val="clear" w:color="auto" w:fill="FFFFFF"/>
        <w:spacing w:before="0" w:beforeAutospacing="0" w:after="0" w:afterAutospacing="0"/>
        <w:jc w:val="center"/>
        <w:textAlignment w:val="baseline"/>
        <w:rPr>
          <w:rStyle w:val="Hipervnculo"/>
          <w:rFonts w:ascii="inherit" w:eastAsiaTheme="majorEastAsia" w:hAnsi="inherit" w:cs="Arial"/>
          <w:b/>
          <w:bCs/>
          <w:color w:val="3498DB"/>
          <w:sz w:val="20"/>
          <w:szCs w:val="20"/>
          <w:bdr w:val="none" w:sz="0" w:space="0" w:color="auto" w:frame="1"/>
        </w:rPr>
      </w:pPr>
      <w:hyperlink r:id="rId9" w:history="1">
        <w:r w:rsidR="00973920" w:rsidRPr="00941319">
          <w:rPr>
            <w:rStyle w:val="Hipervnculo"/>
            <w:rFonts w:ascii="inherit" w:eastAsiaTheme="majorEastAsia" w:hAnsi="inherit" w:cs="Arial"/>
            <w:b/>
            <w:bCs/>
            <w:color w:val="3498DB"/>
            <w:sz w:val="20"/>
            <w:szCs w:val="20"/>
            <w:bdr w:val="none" w:sz="0" w:space="0" w:color="auto" w:frame="1"/>
          </w:rPr>
          <w:t>https://www.fap-alc-ue.com/</w:t>
        </w:r>
      </w:hyperlink>
    </w:p>
    <w:bookmarkEnd w:id="0"/>
    <w:p w14:paraId="35344FCC" w14:textId="77777777" w:rsidR="003658A7" w:rsidRPr="003658A7" w:rsidRDefault="003658A7" w:rsidP="003658A7">
      <w:pPr>
        <w:pStyle w:val="Prrafodelista"/>
        <w:ind w:left="360"/>
        <w:jc w:val="center"/>
        <w:rPr>
          <w:rFonts w:cstheme="minorHAnsi"/>
          <w:b/>
          <w:bCs/>
          <w:sz w:val="24"/>
          <w:szCs w:val="24"/>
          <w:lang w:val="pt-PT"/>
        </w:rPr>
      </w:pPr>
      <w:r w:rsidRPr="003658A7">
        <w:rPr>
          <w:rFonts w:cstheme="minorHAnsi"/>
          <w:b/>
          <w:bCs/>
          <w:sz w:val="24"/>
          <w:szCs w:val="24"/>
          <w:lang w:val="pt-PT"/>
        </w:rPr>
        <w:lastRenderedPageBreak/>
        <w:t>PRESIDENCIA DE HONOR</w:t>
      </w:r>
    </w:p>
    <w:p w14:paraId="7F1E9D6D" w14:textId="218134A7" w:rsidR="008377B7" w:rsidRDefault="008377B7" w:rsidP="003658A7">
      <w:pPr>
        <w:pStyle w:val="Prrafodelista"/>
        <w:ind w:left="360"/>
        <w:jc w:val="center"/>
        <w:rPr>
          <w:rFonts w:cstheme="minorHAnsi"/>
          <w:sz w:val="18"/>
          <w:szCs w:val="18"/>
          <w:lang w:val="pt-PT"/>
        </w:rPr>
      </w:pPr>
      <w:r w:rsidRPr="008377B7">
        <w:rPr>
          <w:rFonts w:cstheme="minorHAnsi"/>
          <w:sz w:val="18"/>
          <w:szCs w:val="18"/>
        </w:rPr>
        <w:t>José Pedro Aguiar-Branco, Presidente de la Asamblea de la República, Portugal</w:t>
      </w:r>
    </w:p>
    <w:p w14:paraId="32E62279" w14:textId="7D429A19"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Cláudia Sarrico, Secretaria de Estado de Educación Superior, Portugal</w:t>
      </w:r>
    </w:p>
    <w:p w14:paraId="41C53BDF" w14:textId="77777777"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Joaquim Mourato, Presidente del Instituto para la Educación Superior, I.P., Portugal</w:t>
      </w:r>
    </w:p>
    <w:p w14:paraId="4696B187" w14:textId="77777777"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José Ferreira Gomes, Rector de la Universidad de Maia, Portugal</w:t>
      </w:r>
    </w:p>
    <w:p w14:paraId="1E2567E1" w14:textId="77777777"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Fernando Ramos, Rector de la Universidad Portucalense, Portugal</w:t>
      </w:r>
    </w:p>
    <w:p w14:paraId="1C0EE26E" w14:textId="77777777"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Rafael Rosell, Presidente del Foro Académico Permanente ALC–UE y Rector de la Universidad del Alba, Chile</w:t>
      </w:r>
    </w:p>
    <w:p w14:paraId="02115894" w14:textId="77777777" w:rsidR="003658A7" w:rsidRPr="003658A7" w:rsidRDefault="003658A7" w:rsidP="003658A7">
      <w:pPr>
        <w:pStyle w:val="Prrafodelista"/>
        <w:ind w:left="360"/>
        <w:jc w:val="center"/>
        <w:rPr>
          <w:rFonts w:cstheme="minorHAnsi"/>
          <w:sz w:val="18"/>
          <w:szCs w:val="18"/>
          <w:lang w:val="pt-PT"/>
        </w:rPr>
      </w:pPr>
      <w:r w:rsidRPr="003658A7">
        <w:rPr>
          <w:rFonts w:cstheme="minorHAnsi"/>
          <w:sz w:val="18"/>
          <w:szCs w:val="18"/>
          <w:lang w:val="pt-PT"/>
        </w:rPr>
        <w:t>Francisco Rojas Aravena, Rector de la Universidad para la Paz de las Naciones Unidas, Costa Rica</w:t>
      </w:r>
    </w:p>
    <w:p w14:paraId="655C3566" w14:textId="77777777" w:rsidR="00A27B77" w:rsidRPr="008D5E01" w:rsidRDefault="00A27B77" w:rsidP="00A27B77">
      <w:pPr>
        <w:pStyle w:val="Prrafodelista"/>
        <w:spacing w:line="240" w:lineRule="auto"/>
        <w:ind w:left="360"/>
        <w:jc w:val="center"/>
        <w:rPr>
          <w:sz w:val="16"/>
          <w:szCs w:val="16"/>
        </w:rPr>
      </w:pPr>
    </w:p>
    <w:p w14:paraId="72BEAA01" w14:textId="77777777" w:rsidR="00950F25" w:rsidRPr="00950F25" w:rsidRDefault="00950F25" w:rsidP="00950F25">
      <w:pPr>
        <w:pStyle w:val="Prrafodelista"/>
        <w:jc w:val="center"/>
        <w:rPr>
          <w:b/>
          <w:bCs/>
          <w:sz w:val="24"/>
          <w:szCs w:val="24"/>
          <w:lang w:val="pt-PT"/>
        </w:rPr>
      </w:pPr>
      <w:r w:rsidRPr="00950F25">
        <w:rPr>
          <w:b/>
          <w:bCs/>
          <w:sz w:val="24"/>
          <w:szCs w:val="24"/>
          <w:lang w:val="pt-PT"/>
        </w:rPr>
        <w:t>APOYO OFICIAL</w:t>
      </w:r>
    </w:p>
    <w:p w14:paraId="178CE45F" w14:textId="77777777" w:rsidR="00950F25" w:rsidRPr="00950F25" w:rsidRDefault="00950F25" w:rsidP="00950F25">
      <w:pPr>
        <w:pStyle w:val="Prrafodelista"/>
        <w:jc w:val="center"/>
        <w:rPr>
          <w:sz w:val="18"/>
          <w:szCs w:val="18"/>
          <w:lang w:val="pt-PT"/>
        </w:rPr>
      </w:pPr>
      <w:r w:rsidRPr="00950F25">
        <w:rPr>
          <w:sz w:val="18"/>
          <w:szCs w:val="18"/>
          <w:lang w:val="pt-PT"/>
        </w:rPr>
        <w:t>Alto Patrocinio de Su Excelencia el Presidente de la República Portuguesa</w:t>
      </w:r>
    </w:p>
    <w:p w14:paraId="1321DBAB" w14:textId="77777777" w:rsidR="00950F25" w:rsidRPr="00950F25" w:rsidRDefault="00950F25" w:rsidP="00950F25">
      <w:pPr>
        <w:pStyle w:val="Prrafodelista"/>
        <w:jc w:val="center"/>
        <w:rPr>
          <w:sz w:val="18"/>
          <w:szCs w:val="18"/>
          <w:lang w:val="pt-PT"/>
        </w:rPr>
      </w:pPr>
      <w:r w:rsidRPr="00950F25">
        <w:rPr>
          <w:sz w:val="18"/>
          <w:szCs w:val="18"/>
          <w:lang w:val="pt-PT"/>
        </w:rPr>
        <w:t>Ministerio de Educación, Ciencia e Innovación — Secretaría de Estado de Educación Superior</w:t>
      </w:r>
    </w:p>
    <w:p w14:paraId="14F4E9B8" w14:textId="77777777" w:rsidR="00950F25" w:rsidRPr="00950F25" w:rsidRDefault="00950F25" w:rsidP="00950F25">
      <w:pPr>
        <w:pStyle w:val="Prrafodelista"/>
        <w:jc w:val="center"/>
        <w:rPr>
          <w:sz w:val="18"/>
          <w:szCs w:val="18"/>
          <w:lang w:val="pt-PT"/>
        </w:rPr>
      </w:pPr>
      <w:r w:rsidRPr="00950F25">
        <w:rPr>
          <w:sz w:val="18"/>
          <w:szCs w:val="18"/>
          <w:lang w:val="pt-PT"/>
        </w:rPr>
        <w:t>Instituto para la Educación Superior, I. P.</w:t>
      </w:r>
    </w:p>
    <w:p w14:paraId="12B6ECF9" w14:textId="77777777" w:rsidR="00950F25" w:rsidRPr="00950F25" w:rsidRDefault="00950F25" w:rsidP="00950F25">
      <w:pPr>
        <w:pStyle w:val="Prrafodelista"/>
        <w:jc w:val="center"/>
        <w:rPr>
          <w:sz w:val="18"/>
          <w:szCs w:val="18"/>
          <w:lang w:val="pt-PT"/>
        </w:rPr>
      </w:pPr>
      <w:r w:rsidRPr="00950F25">
        <w:rPr>
          <w:sz w:val="18"/>
          <w:szCs w:val="18"/>
          <w:lang w:val="pt-PT"/>
        </w:rPr>
        <w:t>COMPETE 2030</w:t>
      </w:r>
    </w:p>
    <w:p w14:paraId="0EADB79E" w14:textId="77777777" w:rsidR="00950F25" w:rsidRPr="00950F25" w:rsidRDefault="00950F25" w:rsidP="00950F25">
      <w:pPr>
        <w:pStyle w:val="Prrafodelista"/>
        <w:jc w:val="center"/>
        <w:rPr>
          <w:sz w:val="18"/>
          <w:szCs w:val="18"/>
          <w:lang w:val="pt-PT"/>
        </w:rPr>
      </w:pPr>
      <w:r w:rsidRPr="00950F25">
        <w:rPr>
          <w:sz w:val="18"/>
          <w:szCs w:val="18"/>
          <w:lang w:val="pt-PT"/>
        </w:rPr>
        <w:t>Portugal 2030 — Cofinanciado por la Unión Europea</w:t>
      </w:r>
    </w:p>
    <w:p w14:paraId="3969F3DA" w14:textId="77777777" w:rsidR="00950F25" w:rsidRPr="00950F25" w:rsidRDefault="00950F25" w:rsidP="00950F25">
      <w:pPr>
        <w:pStyle w:val="Prrafodelista"/>
        <w:jc w:val="center"/>
        <w:rPr>
          <w:sz w:val="18"/>
          <w:szCs w:val="18"/>
          <w:lang w:val="pt-PT"/>
        </w:rPr>
      </w:pPr>
      <w:r w:rsidRPr="00950F25">
        <w:rPr>
          <w:sz w:val="18"/>
          <w:szCs w:val="18"/>
          <w:lang w:val="pt-PT"/>
        </w:rPr>
        <w:t>IPDAL</w:t>
      </w:r>
    </w:p>
    <w:p w14:paraId="2BD5D2FF" w14:textId="77777777" w:rsidR="00A27B77" w:rsidRPr="008D5E01" w:rsidRDefault="00A27B77" w:rsidP="00A27B77">
      <w:pPr>
        <w:pStyle w:val="Prrafodelista"/>
        <w:ind w:left="360"/>
        <w:jc w:val="center"/>
        <w:rPr>
          <w:b/>
          <w:bCs/>
          <w:sz w:val="16"/>
          <w:szCs w:val="16"/>
        </w:rPr>
      </w:pPr>
    </w:p>
    <w:p w14:paraId="217D60DD" w14:textId="77777777" w:rsidR="00950F25" w:rsidRPr="00950F25" w:rsidRDefault="00950F25" w:rsidP="00950F25">
      <w:pPr>
        <w:pStyle w:val="Prrafodelista"/>
        <w:ind w:left="360"/>
        <w:jc w:val="center"/>
        <w:rPr>
          <w:b/>
          <w:bCs/>
          <w:sz w:val="24"/>
          <w:szCs w:val="24"/>
          <w:lang w:val="pt-PT"/>
        </w:rPr>
      </w:pPr>
      <w:r w:rsidRPr="00950F25">
        <w:rPr>
          <w:b/>
          <w:bCs/>
          <w:sz w:val="24"/>
          <w:szCs w:val="24"/>
          <w:lang w:val="pt-PT"/>
        </w:rPr>
        <w:t>COMITÉ ORGANIZADOR</w:t>
      </w:r>
    </w:p>
    <w:p w14:paraId="61F9C192" w14:textId="77777777" w:rsidR="00950F25" w:rsidRPr="00950F25" w:rsidRDefault="00950F25" w:rsidP="00950F25">
      <w:pPr>
        <w:pStyle w:val="Prrafodelista"/>
        <w:ind w:left="360"/>
        <w:jc w:val="center"/>
        <w:rPr>
          <w:sz w:val="18"/>
          <w:szCs w:val="18"/>
          <w:lang w:val="pt-PT"/>
        </w:rPr>
      </w:pPr>
      <w:r w:rsidRPr="00950F25">
        <w:rPr>
          <w:sz w:val="18"/>
          <w:szCs w:val="18"/>
          <w:lang w:val="pt-PT"/>
        </w:rPr>
        <w:t>Coordinador general: Miguel Copetto, director ejecutivo de la APESP</w:t>
      </w:r>
    </w:p>
    <w:p w14:paraId="4583DC39" w14:textId="77777777" w:rsidR="00950F25" w:rsidRPr="00950F25" w:rsidRDefault="00950F25" w:rsidP="00950F25">
      <w:pPr>
        <w:pStyle w:val="Prrafodelista"/>
        <w:ind w:left="360"/>
        <w:jc w:val="center"/>
        <w:rPr>
          <w:sz w:val="18"/>
          <w:szCs w:val="18"/>
          <w:lang w:val="pt-PT"/>
        </w:rPr>
      </w:pPr>
      <w:r w:rsidRPr="00950F25">
        <w:rPr>
          <w:sz w:val="18"/>
          <w:szCs w:val="18"/>
          <w:lang w:val="pt-PT"/>
        </w:rPr>
        <w:t>Héctor Casanueva, vicepresidente del FAP ALC–UE</w:t>
      </w:r>
    </w:p>
    <w:p w14:paraId="6EA45CE8" w14:textId="77777777" w:rsidR="00950F25" w:rsidRPr="00950F25" w:rsidRDefault="00950F25" w:rsidP="00950F25">
      <w:pPr>
        <w:pStyle w:val="Prrafodelista"/>
        <w:ind w:left="360"/>
        <w:jc w:val="center"/>
        <w:rPr>
          <w:sz w:val="18"/>
          <w:szCs w:val="18"/>
          <w:lang w:val="pt-PT"/>
        </w:rPr>
      </w:pPr>
      <w:r w:rsidRPr="00950F25">
        <w:rPr>
          <w:sz w:val="18"/>
          <w:szCs w:val="18"/>
          <w:lang w:val="pt-PT"/>
        </w:rPr>
        <w:t>Fernando Galván, rector emérito de la Universidad de Alcalá</w:t>
      </w:r>
    </w:p>
    <w:p w14:paraId="328D2732" w14:textId="77777777" w:rsidR="00950F25" w:rsidRPr="00950F25" w:rsidRDefault="00950F25" w:rsidP="00950F25">
      <w:pPr>
        <w:pStyle w:val="Prrafodelista"/>
        <w:ind w:left="360"/>
        <w:jc w:val="center"/>
        <w:rPr>
          <w:sz w:val="18"/>
          <w:szCs w:val="18"/>
          <w:lang w:val="pt-PT"/>
        </w:rPr>
      </w:pPr>
      <w:r w:rsidRPr="00950F25">
        <w:rPr>
          <w:sz w:val="18"/>
          <w:szCs w:val="18"/>
          <w:lang w:val="pt-PT"/>
        </w:rPr>
        <w:t>Beatriz Peluffo, Universidad de la Empresa, Uruguay</w:t>
      </w:r>
    </w:p>
    <w:p w14:paraId="6C2566D4" w14:textId="77777777" w:rsidR="00950F25" w:rsidRPr="00950F25" w:rsidRDefault="00950F25" w:rsidP="00950F25">
      <w:pPr>
        <w:pStyle w:val="Prrafodelista"/>
        <w:ind w:left="360"/>
        <w:jc w:val="center"/>
        <w:rPr>
          <w:sz w:val="18"/>
          <w:szCs w:val="18"/>
          <w:lang w:val="pt-PT"/>
        </w:rPr>
      </w:pPr>
      <w:r w:rsidRPr="00950F25">
        <w:rPr>
          <w:sz w:val="18"/>
          <w:szCs w:val="18"/>
          <w:lang w:val="pt-PT"/>
        </w:rPr>
        <w:t>Carlos Quenan, vicepresidente del Instituto de las Américas, Francia</w:t>
      </w:r>
    </w:p>
    <w:p w14:paraId="71E6BFA9" w14:textId="77777777" w:rsidR="00950F25" w:rsidRPr="00950F25" w:rsidRDefault="00950F25" w:rsidP="00950F25">
      <w:pPr>
        <w:pStyle w:val="Prrafodelista"/>
        <w:ind w:left="360"/>
        <w:jc w:val="center"/>
        <w:rPr>
          <w:sz w:val="18"/>
          <w:szCs w:val="18"/>
          <w:lang w:val="pt-PT"/>
        </w:rPr>
      </w:pPr>
      <w:r w:rsidRPr="00950F25">
        <w:rPr>
          <w:sz w:val="18"/>
          <w:szCs w:val="18"/>
          <w:lang w:val="pt-PT"/>
        </w:rPr>
        <w:t>Sofía Lobos Araya, directora general de Internacionalización de la Universidad del Alba</w:t>
      </w:r>
    </w:p>
    <w:p w14:paraId="3C539EEC" w14:textId="77777777" w:rsidR="00950F25" w:rsidRPr="00950F25" w:rsidRDefault="00950F25" w:rsidP="00950F25">
      <w:pPr>
        <w:pStyle w:val="Prrafodelista"/>
        <w:ind w:left="360"/>
        <w:jc w:val="center"/>
        <w:rPr>
          <w:sz w:val="18"/>
          <w:szCs w:val="18"/>
          <w:lang w:val="pt-PT"/>
        </w:rPr>
      </w:pPr>
      <w:r w:rsidRPr="00950F25">
        <w:rPr>
          <w:sz w:val="18"/>
          <w:szCs w:val="18"/>
          <w:lang w:val="pt-PT"/>
        </w:rPr>
        <w:t>Luciano Marcelino Rodrigues, director del Rectoral Board</w:t>
      </w:r>
    </w:p>
    <w:p w14:paraId="6F048631" w14:textId="2E906632" w:rsidR="00950F25" w:rsidRPr="00950F25" w:rsidRDefault="00950F25" w:rsidP="00A82B82">
      <w:pPr>
        <w:pStyle w:val="Prrafodelista"/>
        <w:ind w:left="0" w:right="-143"/>
        <w:jc w:val="center"/>
        <w:rPr>
          <w:sz w:val="18"/>
          <w:szCs w:val="18"/>
          <w:lang w:val="en-GB"/>
        </w:rPr>
      </w:pPr>
      <w:r w:rsidRPr="00950F25">
        <w:rPr>
          <w:sz w:val="18"/>
          <w:szCs w:val="18"/>
          <w:lang w:val="en-GB"/>
        </w:rPr>
        <w:t xml:space="preserve">Ibon Zugasti, director ejecutivo de Prospektiker y director The Millennium Project Global Futures Studies </w:t>
      </w:r>
      <w:r w:rsidR="00A82B82">
        <w:rPr>
          <w:sz w:val="18"/>
          <w:szCs w:val="18"/>
          <w:lang w:val="en-GB"/>
        </w:rPr>
        <w:t xml:space="preserve">&amp; </w:t>
      </w:r>
      <w:r w:rsidRPr="00950F25">
        <w:rPr>
          <w:sz w:val="18"/>
          <w:szCs w:val="18"/>
          <w:lang w:val="en-GB"/>
        </w:rPr>
        <w:t>Research</w:t>
      </w:r>
    </w:p>
    <w:p w14:paraId="04A77B21" w14:textId="77777777" w:rsidR="00A27B77" w:rsidRPr="00A27B77" w:rsidRDefault="00A27B77" w:rsidP="00A27B77">
      <w:pPr>
        <w:pStyle w:val="Sinespaciado"/>
        <w:jc w:val="center"/>
        <w:rPr>
          <w:sz w:val="16"/>
          <w:szCs w:val="16"/>
        </w:rPr>
      </w:pPr>
    </w:p>
    <w:p w14:paraId="5CC0EED9" w14:textId="77777777" w:rsidR="00950F25" w:rsidRPr="00950F25" w:rsidRDefault="00950F25" w:rsidP="00950F25">
      <w:pPr>
        <w:pStyle w:val="Prrafodelista"/>
        <w:ind w:left="360"/>
        <w:jc w:val="center"/>
        <w:rPr>
          <w:b/>
          <w:bCs/>
          <w:sz w:val="24"/>
          <w:szCs w:val="24"/>
          <w:lang w:val="pt-PT"/>
        </w:rPr>
      </w:pPr>
      <w:r w:rsidRPr="00950F25">
        <w:rPr>
          <w:b/>
          <w:bCs/>
          <w:sz w:val="24"/>
          <w:szCs w:val="24"/>
          <w:lang w:val="pt-PT"/>
        </w:rPr>
        <w:t>ORGANIZACIONES COLABORADORAS DE LAS CUMBRES ACADÉMICAS</w:t>
      </w:r>
    </w:p>
    <w:p w14:paraId="4C05BEFF" w14:textId="77777777" w:rsidR="000C7FC7" w:rsidRPr="00194F14" w:rsidRDefault="000C7FC7" w:rsidP="00A27B77">
      <w:pPr>
        <w:pStyle w:val="Prrafodelista"/>
        <w:ind w:left="360"/>
        <w:jc w:val="center"/>
        <w:rPr>
          <w:sz w:val="16"/>
          <w:szCs w:val="16"/>
        </w:rPr>
      </w:pPr>
    </w:p>
    <w:p w14:paraId="28434E95" w14:textId="77777777" w:rsidR="00194F14" w:rsidRDefault="00194F14" w:rsidP="00A27B77">
      <w:pPr>
        <w:pStyle w:val="Prrafodelista"/>
        <w:ind w:left="360"/>
        <w:jc w:val="center"/>
        <w:rPr>
          <w:sz w:val="18"/>
          <w:szCs w:val="18"/>
        </w:rPr>
        <w:sectPr w:rsidR="00194F14" w:rsidSect="00ED6409">
          <w:headerReference w:type="default" r:id="rId10"/>
          <w:pgSz w:w="11906" w:h="16838"/>
          <w:pgMar w:top="1417" w:right="1701" w:bottom="1417" w:left="1701"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2856702D" w14:textId="77777777" w:rsidR="00A27B77" w:rsidRPr="00FD30F9" w:rsidRDefault="00A27B77" w:rsidP="00270F97">
      <w:pPr>
        <w:pStyle w:val="Prrafodelista"/>
        <w:ind w:left="0"/>
        <w:jc w:val="center"/>
        <w:rPr>
          <w:sz w:val="18"/>
          <w:szCs w:val="18"/>
        </w:rPr>
      </w:pPr>
      <w:r w:rsidRPr="00FD30F9">
        <w:rPr>
          <w:sz w:val="18"/>
          <w:szCs w:val="18"/>
        </w:rPr>
        <w:t>OEI: Organización de Estados Iberoamericanos para la Educación, la Ciencia y la Cultura</w:t>
      </w:r>
    </w:p>
    <w:p w14:paraId="171A24E6" w14:textId="77777777" w:rsidR="00A27B77" w:rsidRPr="00FD30F9" w:rsidRDefault="00A27B77" w:rsidP="00270F97">
      <w:pPr>
        <w:pStyle w:val="Prrafodelista"/>
        <w:ind w:left="0"/>
        <w:jc w:val="center"/>
        <w:rPr>
          <w:sz w:val="18"/>
          <w:szCs w:val="18"/>
        </w:rPr>
      </w:pPr>
      <w:r w:rsidRPr="00FD30F9">
        <w:rPr>
          <w:sz w:val="18"/>
          <w:szCs w:val="18"/>
        </w:rPr>
        <w:t>Fundación EU-LAC</w:t>
      </w:r>
    </w:p>
    <w:p w14:paraId="61064805" w14:textId="77777777" w:rsidR="00A27B77" w:rsidRPr="00FD30F9" w:rsidRDefault="00A27B77" w:rsidP="00270F97">
      <w:pPr>
        <w:pStyle w:val="Prrafodelista"/>
        <w:ind w:left="0"/>
        <w:jc w:val="center"/>
        <w:rPr>
          <w:sz w:val="18"/>
          <w:szCs w:val="18"/>
        </w:rPr>
      </w:pPr>
      <w:r w:rsidRPr="00FD30F9">
        <w:rPr>
          <w:sz w:val="18"/>
          <w:szCs w:val="18"/>
        </w:rPr>
        <w:t xml:space="preserve">Universidad para La Paz, </w:t>
      </w:r>
      <w:r>
        <w:rPr>
          <w:sz w:val="18"/>
          <w:szCs w:val="18"/>
        </w:rPr>
        <w:t>Naciones Unidas</w:t>
      </w:r>
    </w:p>
    <w:p w14:paraId="4905D80F" w14:textId="77777777" w:rsidR="00A27B77" w:rsidRPr="00FD30F9" w:rsidRDefault="00A27B77" w:rsidP="00270F97">
      <w:pPr>
        <w:pStyle w:val="Prrafodelista"/>
        <w:ind w:left="0"/>
        <w:jc w:val="center"/>
        <w:rPr>
          <w:sz w:val="18"/>
          <w:szCs w:val="18"/>
        </w:rPr>
      </w:pPr>
      <w:r w:rsidRPr="00FD30F9">
        <w:rPr>
          <w:sz w:val="18"/>
          <w:szCs w:val="18"/>
        </w:rPr>
        <w:t xml:space="preserve">UDUALC: Unión de Universidades de América Latina y el Caribe </w:t>
      </w:r>
    </w:p>
    <w:p w14:paraId="003E950A" w14:textId="77777777" w:rsidR="00A27B77" w:rsidRPr="00FD30F9" w:rsidRDefault="00A27B77" w:rsidP="00270F97">
      <w:pPr>
        <w:pStyle w:val="Prrafodelista"/>
        <w:ind w:left="0"/>
        <w:jc w:val="center"/>
        <w:rPr>
          <w:sz w:val="18"/>
          <w:szCs w:val="18"/>
        </w:rPr>
      </w:pPr>
      <w:r w:rsidRPr="00FD30F9">
        <w:rPr>
          <w:sz w:val="18"/>
          <w:szCs w:val="18"/>
        </w:rPr>
        <w:t>Organización Universitaria Interamericana (IOHE)</w:t>
      </w:r>
    </w:p>
    <w:p w14:paraId="7BE84F16" w14:textId="77777777" w:rsidR="00A27B77" w:rsidRDefault="00A27B77" w:rsidP="00270F97">
      <w:pPr>
        <w:pStyle w:val="Prrafodelista"/>
        <w:ind w:left="0"/>
        <w:jc w:val="center"/>
        <w:rPr>
          <w:sz w:val="18"/>
          <w:szCs w:val="18"/>
        </w:rPr>
      </w:pPr>
      <w:r w:rsidRPr="00FD30F9">
        <w:rPr>
          <w:sz w:val="18"/>
          <w:szCs w:val="18"/>
        </w:rPr>
        <w:t xml:space="preserve">Erasmus </w:t>
      </w:r>
      <w:r>
        <w:rPr>
          <w:sz w:val="18"/>
          <w:szCs w:val="18"/>
        </w:rPr>
        <w:t xml:space="preserve">Student Network </w:t>
      </w:r>
      <w:r w:rsidRPr="00FD30F9">
        <w:rPr>
          <w:sz w:val="18"/>
          <w:szCs w:val="18"/>
        </w:rPr>
        <w:t>(ESN)</w:t>
      </w:r>
    </w:p>
    <w:p w14:paraId="4CA5BD74" w14:textId="77777777" w:rsidR="00A27B77" w:rsidRPr="00A27B77" w:rsidRDefault="00A27B77" w:rsidP="00270F97">
      <w:pPr>
        <w:pStyle w:val="Prrafodelista"/>
        <w:ind w:left="0"/>
        <w:jc w:val="center"/>
        <w:rPr>
          <w:sz w:val="18"/>
          <w:szCs w:val="18"/>
        </w:rPr>
      </w:pPr>
      <w:r w:rsidRPr="00A27B77">
        <w:rPr>
          <w:sz w:val="18"/>
          <w:szCs w:val="18"/>
        </w:rPr>
        <w:t>Presidencia de la Asamblea EUROLAT, Parlamento Europeo</w:t>
      </w:r>
    </w:p>
    <w:p w14:paraId="0D61EF2C" w14:textId="77777777" w:rsidR="00A27B77" w:rsidRPr="00A27B77" w:rsidRDefault="00A27B77" w:rsidP="00270F97">
      <w:pPr>
        <w:pStyle w:val="Prrafodelista"/>
        <w:ind w:left="0"/>
        <w:jc w:val="center"/>
        <w:rPr>
          <w:sz w:val="18"/>
          <w:szCs w:val="18"/>
        </w:rPr>
      </w:pPr>
      <w:r w:rsidRPr="00A27B77">
        <w:rPr>
          <w:sz w:val="18"/>
          <w:szCs w:val="18"/>
        </w:rPr>
        <w:t>Instituto de las Américas, Francia</w:t>
      </w:r>
    </w:p>
    <w:p w14:paraId="01213145" w14:textId="77777777" w:rsidR="00A27B77" w:rsidRPr="00A27B77" w:rsidRDefault="00A27B77" w:rsidP="00270F97">
      <w:pPr>
        <w:pStyle w:val="Prrafodelista"/>
        <w:ind w:left="0"/>
        <w:jc w:val="center"/>
        <w:rPr>
          <w:sz w:val="18"/>
          <w:szCs w:val="18"/>
        </w:rPr>
      </w:pPr>
      <w:r w:rsidRPr="00A27B77">
        <w:rPr>
          <w:sz w:val="18"/>
          <w:szCs w:val="18"/>
        </w:rPr>
        <w:t>GRUPO COIMBRA, Grupo de América Latina</w:t>
      </w:r>
    </w:p>
    <w:p w14:paraId="716BE613" w14:textId="77777777" w:rsidR="00A27B77" w:rsidRPr="00A27B77" w:rsidRDefault="00A27B77" w:rsidP="00270F97">
      <w:pPr>
        <w:pStyle w:val="Prrafodelista"/>
        <w:ind w:left="0"/>
        <w:jc w:val="center"/>
        <w:rPr>
          <w:sz w:val="18"/>
          <w:szCs w:val="18"/>
        </w:rPr>
      </w:pPr>
      <w:r w:rsidRPr="00A27B77">
        <w:rPr>
          <w:sz w:val="18"/>
          <w:szCs w:val="18"/>
        </w:rPr>
        <w:t>Consejo Federal Español del Movimiento Europeo</w:t>
      </w:r>
    </w:p>
    <w:p w14:paraId="53666814" w14:textId="77777777" w:rsidR="00A27B77" w:rsidRPr="00A27B77" w:rsidRDefault="00A27B77" w:rsidP="00270F97">
      <w:pPr>
        <w:pStyle w:val="Prrafodelista"/>
        <w:ind w:left="0"/>
        <w:jc w:val="center"/>
        <w:rPr>
          <w:sz w:val="18"/>
          <w:szCs w:val="18"/>
        </w:rPr>
      </w:pPr>
      <w:r w:rsidRPr="00A27B77">
        <w:rPr>
          <w:sz w:val="18"/>
          <w:szCs w:val="18"/>
        </w:rPr>
        <w:t>IRELAC, Bélgica</w:t>
      </w:r>
    </w:p>
    <w:p w14:paraId="1AB3B257" w14:textId="77777777" w:rsidR="00A27B77" w:rsidRPr="00A27B77" w:rsidRDefault="00A27B77" w:rsidP="00270F97">
      <w:pPr>
        <w:pStyle w:val="Prrafodelista"/>
        <w:ind w:left="0"/>
        <w:jc w:val="center"/>
        <w:rPr>
          <w:sz w:val="18"/>
          <w:szCs w:val="18"/>
        </w:rPr>
      </w:pPr>
      <w:r w:rsidRPr="00A27B77">
        <w:rPr>
          <w:sz w:val="18"/>
          <w:szCs w:val="18"/>
        </w:rPr>
        <w:t>UNED, España</w:t>
      </w:r>
    </w:p>
    <w:p w14:paraId="7ACD7CBB" w14:textId="77777777" w:rsidR="00A27B77" w:rsidRPr="00A27B77" w:rsidRDefault="00A27B77" w:rsidP="007F7CE3">
      <w:pPr>
        <w:pStyle w:val="Prrafodelista"/>
        <w:ind w:left="0"/>
        <w:jc w:val="center"/>
        <w:rPr>
          <w:sz w:val="18"/>
          <w:szCs w:val="18"/>
        </w:rPr>
      </w:pPr>
      <w:r w:rsidRPr="00A27B77">
        <w:rPr>
          <w:sz w:val="18"/>
          <w:szCs w:val="18"/>
        </w:rPr>
        <w:t>Rectoral Board</w:t>
      </w:r>
    </w:p>
    <w:p w14:paraId="38371CED" w14:textId="77777777" w:rsidR="00A27B77" w:rsidRPr="00A27B77" w:rsidRDefault="00A27B77" w:rsidP="00270F97">
      <w:pPr>
        <w:pStyle w:val="Prrafodelista"/>
        <w:ind w:left="0"/>
        <w:jc w:val="center"/>
        <w:rPr>
          <w:sz w:val="18"/>
          <w:szCs w:val="18"/>
        </w:rPr>
      </w:pPr>
      <w:r w:rsidRPr="00A27B77">
        <w:rPr>
          <w:sz w:val="18"/>
          <w:szCs w:val="18"/>
        </w:rPr>
        <w:t>Cátedra Iberoamericana de Educación OEI-UAH</w:t>
      </w:r>
    </w:p>
    <w:p w14:paraId="355D87D7" w14:textId="77777777" w:rsidR="00A27B77" w:rsidRPr="00A27B77" w:rsidRDefault="00A27B77" w:rsidP="00270F97">
      <w:pPr>
        <w:pStyle w:val="Prrafodelista"/>
        <w:ind w:left="0"/>
        <w:jc w:val="center"/>
        <w:rPr>
          <w:sz w:val="18"/>
          <w:szCs w:val="18"/>
        </w:rPr>
      </w:pPr>
      <w:r w:rsidRPr="00A27B77">
        <w:rPr>
          <w:sz w:val="18"/>
          <w:szCs w:val="18"/>
        </w:rPr>
        <w:t>Instituto Universitario de Análisis Económico y Social (IAES) Universidad de Alcalá</w:t>
      </w:r>
    </w:p>
    <w:p w14:paraId="6031117B" w14:textId="77777777" w:rsidR="00A27B77" w:rsidRPr="00A27B77" w:rsidRDefault="00A27B77" w:rsidP="00270F97">
      <w:pPr>
        <w:pStyle w:val="Prrafodelista"/>
        <w:ind w:left="0"/>
        <w:jc w:val="center"/>
        <w:rPr>
          <w:sz w:val="18"/>
          <w:szCs w:val="18"/>
        </w:rPr>
      </w:pPr>
      <w:r w:rsidRPr="00A27B77">
        <w:rPr>
          <w:sz w:val="18"/>
          <w:szCs w:val="18"/>
        </w:rPr>
        <w:t>RED DE COOPERACIÓN EUROPA-LAC LATINOAMERICANA</w:t>
      </w:r>
    </w:p>
    <w:p w14:paraId="5578755F" w14:textId="77777777" w:rsidR="00A27B77" w:rsidRPr="00A27B77" w:rsidRDefault="00A27B77" w:rsidP="00270F97">
      <w:pPr>
        <w:pStyle w:val="Prrafodelista"/>
        <w:ind w:left="0"/>
        <w:jc w:val="center"/>
        <w:rPr>
          <w:sz w:val="18"/>
          <w:szCs w:val="18"/>
        </w:rPr>
      </w:pPr>
      <w:r w:rsidRPr="00A27B77">
        <w:rPr>
          <w:sz w:val="18"/>
          <w:szCs w:val="18"/>
        </w:rPr>
        <w:t>ISLA, Instituto de Estudios Latinoamericanos SNSPA, Rumanía</w:t>
      </w:r>
    </w:p>
    <w:p w14:paraId="093BA79D" w14:textId="77777777" w:rsidR="00A27B77" w:rsidRPr="00A27B77" w:rsidRDefault="00A27B77" w:rsidP="00270F97">
      <w:pPr>
        <w:pStyle w:val="Prrafodelista"/>
        <w:ind w:left="0"/>
        <w:jc w:val="center"/>
        <w:rPr>
          <w:sz w:val="18"/>
          <w:szCs w:val="18"/>
        </w:rPr>
      </w:pPr>
      <w:r w:rsidRPr="00A27B77">
        <w:rPr>
          <w:sz w:val="18"/>
          <w:szCs w:val="18"/>
        </w:rPr>
        <w:t>CELARE: Centro Latinoamericano para las Relaciones con Europa</w:t>
      </w:r>
    </w:p>
    <w:p w14:paraId="5099ED4E" w14:textId="77777777" w:rsidR="00A27B77" w:rsidRPr="00A27B77" w:rsidRDefault="00A27B77" w:rsidP="00270F97">
      <w:pPr>
        <w:pStyle w:val="Prrafodelista"/>
        <w:ind w:left="0"/>
        <w:jc w:val="center"/>
        <w:rPr>
          <w:sz w:val="18"/>
          <w:szCs w:val="18"/>
        </w:rPr>
      </w:pPr>
      <w:r w:rsidRPr="00A27B77">
        <w:rPr>
          <w:sz w:val="18"/>
          <w:szCs w:val="18"/>
        </w:rPr>
        <w:t>Cátedra UNESCO, Universidad Blas Pascal, Argentina</w:t>
      </w:r>
    </w:p>
    <w:p w14:paraId="3C3196D0" w14:textId="59AFA76D" w:rsidR="00A27B77" w:rsidRDefault="00A27B77" w:rsidP="00270F97">
      <w:pPr>
        <w:pStyle w:val="Prrafodelista"/>
        <w:ind w:left="0"/>
        <w:jc w:val="center"/>
        <w:rPr>
          <w:sz w:val="18"/>
          <w:szCs w:val="18"/>
        </w:rPr>
      </w:pPr>
      <w:r w:rsidRPr="00A27B77">
        <w:rPr>
          <w:sz w:val="18"/>
          <w:szCs w:val="18"/>
        </w:rPr>
        <w:t>Cátedra UNESCO en Internacionalización de la Educación Superior y Ciudadanía Global, Universidad de Guadalajara, México</w:t>
      </w:r>
    </w:p>
    <w:p w14:paraId="392A6134" w14:textId="77777777" w:rsidR="000C7FC7" w:rsidRDefault="000C7FC7" w:rsidP="00A27B77">
      <w:pPr>
        <w:pStyle w:val="Prrafodelista"/>
        <w:jc w:val="center"/>
        <w:rPr>
          <w:sz w:val="16"/>
          <w:szCs w:val="16"/>
        </w:rPr>
        <w:sectPr w:rsidR="000C7FC7" w:rsidSect="00194F14">
          <w:type w:val="continuous"/>
          <w:pgSz w:w="11906" w:h="16838"/>
          <w:pgMar w:top="1417" w:right="1701" w:bottom="1417" w:left="1701"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num="2" w:space="708"/>
          <w:docGrid w:linePitch="360"/>
        </w:sectPr>
      </w:pPr>
    </w:p>
    <w:p w14:paraId="3C79D8C1" w14:textId="77777777" w:rsidR="00EF1A83" w:rsidRPr="00EF1A83" w:rsidRDefault="00EF1A83" w:rsidP="00A27B77">
      <w:pPr>
        <w:pStyle w:val="Prrafodelista"/>
        <w:jc w:val="center"/>
        <w:rPr>
          <w:sz w:val="16"/>
          <w:szCs w:val="16"/>
        </w:rPr>
      </w:pPr>
    </w:p>
    <w:p w14:paraId="7CA15384" w14:textId="77777777" w:rsidR="00950F25" w:rsidRPr="00950F25" w:rsidRDefault="00950F25" w:rsidP="00950F25">
      <w:pPr>
        <w:pStyle w:val="Prrafodelista"/>
        <w:jc w:val="center"/>
        <w:rPr>
          <w:b/>
          <w:bCs/>
          <w:sz w:val="24"/>
          <w:szCs w:val="24"/>
          <w:lang w:val="pt-PT"/>
        </w:rPr>
      </w:pPr>
      <w:r w:rsidRPr="00950F25">
        <w:rPr>
          <w:b/>
          <w:bCs/>
          <w:sz w:val="24"/>
          <w:szCs w:val="24"/>
          <w:lang w:val="pt-PT"/>
        </w:rPr>
        <w:t>CONDICIONES DE PARTICIPACIÓN</w:t>
      </w:r>
    </w:p>
    <w:p w14:paraId="388FD0B3" w14:textId="77777777" w:rsidR="008D5E01" w:rsidRPr="008D5E01" w:rsidRDefault="008D5E01" w:rsidP="008D5E01">
      <w:pPr>
        <w:pStyle w:val="Prrafodelista"/>
        <w:ind w:left="0"/>
        <w:jc w:val="both"/>
        <w:rPr>
          <w:sz w:val="16"/>
          <w:szCs w:val="16"/>
          <w:lang w:val="pt-PT"/>
        </w:rPr>
      </w:pPr>
    </w:p>
    <w:p w14:paraId="7E53EB6D" w14:textId="77777777" w:rsidR="00950F25" w:rsidRDefault="00950F25" w:rsidP="00950F25">
      <w:pPr>
        <w:pStyle w:val="Prrafodelista"/>
        <w:ind w:left="0"/>
        <w:jc w:val="both"/>
        <w:rPr>
          <w:sz w:val="18"/>
          <w:szCs w:val="18"/>
          <w:lang w:val="pt-PT"/>
        </w:rPr>
      </w:pPr>
      <w:r w:rsidRPr="00950F25">
        <w:rPr>
          <w:sz w:val="18"/>
          <w:szCs w:val="18"/>
          <w:lang w:val="pt-PT"/>
        </w:rPr>
        <w:t>La participación en la VII Cumbre Académica es gratuita y no conlleva el pago de ninguna cuota de inscripción. Los gastos de viaje, alojamiento y demás gastos individuales correrán por cuenta de los participantes. La organización asumirá los costes de preparación, coordinación, celebración y documentación de la Cumbre.</w:t>
      </w:r>
    </w:p>
    <w:p w14:paraId="6B29C8A0" w14:textId="77777777" w:rsidR="00950F25" w:rsidRPr="00950F25" w:rsidRDefault="00950F25" w:rsidP="00950F25">
      <w:pPr>
        <w:pStyle w:val="Prrafodelista"/>
        <w:ind w:left="0"/>
        <w:jc w:val="both"/>
        <w:rPr>
          <w:sz w:val="18"/>
          <w:szCs w:val="18"/>
          <w:lang w:val="pt-PT"/>
        </w:rPr>
      </w:pPr>
    </w:p>
    <w:p w14:paraId="64734152" w14:textId="2BB004F9" w:rsidR="00973920" w:rsidRDefault="00927416" w:rsidP="00973920">
      <w:pPr>
        <w:rPr>
          <w:noProof/>
        </w:rPr>
      </w:pPr>
      <w:r>
        <w:rPr>
          <w:noProof/>
          <w:lang w:val="es-CL" w:eastAsia="es-CL"/>
        </w:rPr>
        <w:drawing>
          <wp:inline distT="0" distB="0" distL="0" distR="0" wp14:anchorId="1ABB820D" wp14:editId="2678EC0A">
            <wp:extent cx="1134256" cy="61021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313" cy="630150"/>
                    </a:xfrm>
                    <a:prstGeom prst="rect">
                      <a:avLst/>
                    </a:prstGeom>
                    <a:noFill/>
                    <a:ln>
                      <a:noFill/>
                    </a:ln>
                  </pic:spPr>
                </pic:pic>
              </a:graphicData>
            </a:graphic>
          </wp:inline>
        </w:drawing>
      </w:r>
      <w:r w:rsidR="00973920">
        <w:rPr>
          <w:noProof/>
          <w:lang w:val="es-CL" w:eastAsia="es-CL"/>
        </w:rPr>
        <w:drawing>
          <wp:inline distT="0" distB="0" distL="0" distR="0" wp14:anchorId="63E3B883" wp14:editId="322A5A40">
            <wp:extent cx="1198702" cy="622519"/>
            <wp:effectExtent l="0" t="0" r="1905" b="6350"/>
            <wp:docPr id="9" name="Imagen 9" descr="III Cumbre Académica de América Latina y el Caribe y la Unión Europea |  Universidad Miguel de Cerv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II Cumbre Académica de América Latina y el Caribe y la Unión Europea |  Universidad Miguel de Cervan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915" cy="692739"/>
                    </a:xfrm>
                    <a:prstGeom prst="rect">
                      <a:avLst/>
                    </a:prstGeom>
                    <a:noFill/>
                    <a:ln>
                      <a:noFill/>
                    </a:ln>
                  </pic:spPr>
                </pic:pic>
              </a:graphicData>
            </a:graphic>
          </wp:inline>
        </w:drawing>
      </w:r>
      <w:r w:rsidR="00973920">
        <w:rPr>
          <w:noProof/>
        </w:rPr>
        <w:t xml:space="preserve"> </w:t>
      </w:r>
      <w:r w:rsidR="00973920">
        <w:rPr>
          <w:noProof/>
          <w:lang w:val="es-CL" w:eastAsia="es-CL"/>
        </w:rPr>
        <w:drawing>
          <wp:inline distT="0" distB="0" distL="0" distR="0" wp14:anchorId="1DD508DE" wp14:editId="10C1E84B">
            <wp:extent cx="1785151" cy="634667"/>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5231" cy="670248"/>
                    </a:xfrm>
                    <a:prstGeom prst="rect">
                      <a:avLst/>
                    </a:prstGeom>
                    <a:noFill/>
                    <a:ln>
                      <a:noFill/>
                    </a:ln>
                  </pic:spPr>
                </pic:pic>
              </a:graphicData>
            </a:graphic>
          </wp:inline>
        </w:drawing>
      </w:r>
      <w:r w:rsidR="00973920">
        <w:rPr>
          <w:noProof/>
        </w:rPr>
        <w:t xml:space="preserve"> </w:t>
      </w:r>
      <w:r w:rsidR="00973920">
        <w:rPr>
          <w:noProof/>
          <w:lang w:val="es-CL" w:eastAsia="es-CL"/>
        </w:rPr>
        <w:drawing>
          <wp:inline distT="0" distB="0" distL="0" distR="0" wp14:anchorId="79F94F32" wp14:editId="753D07BB">
            <wp:extent cx="1200150" cy="63309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3962" cy="682582"/>
                    </a:xfrm>
                    <a:prstGeom prst="rect">
                      <a:avLst/>
                    </a:prstGeom>
                    <a:noFill/>
                    <a:ln>
                      <a:noFill/>
                    </a:ln>
                  </pic:spPr>
                </pic:pic>
              </a:graphicData>
            </a:graphic>
          </wp:inline>
        </w:drawing>
      </w:r>
    </w:p>
    <w:p w14:paraId="5BEC178C" w14:textId="6302C548" w:rsidR="00973920" w:rsidRDefault="00C6402F" w:rsidP="00C6402F">
      <w:pPr>
        <w:pStyle w:val="NormalWeb"/>
        <w:shd w:val="clear" w:color="auto" w:fill="FFFFFF"/>
        <w:spacing w:before="0" w:beforeAutospacing="0" w:after="0" w:afterAutospacing="0"/>
        <w:jc w:val="center"/>
        <w:textAlignment w:val="baseline"/>
        <w:rPr>
          <w:rFonts w:ascii="Arial" w:hAnsi="Arial" w:cs="Arial"/>
          <w:color w:val="272727"/>
          <w:sz w:val="22"/>
          <w:szCs w:val="22"/>
        </w:rPr>
      </w:pPr>
      <w:r>
        <w:rPr>
          <w:rFonts w:ascii="Arial" w:hAnsi="Arial" w:cs="Arial"/>
          <w:noProof/>
          <w:color w:val="272727"/>
          <w:sz w:val="22"/>
          <w:szCs w:val="22"/>
          <w:lang w:val="es-CL" w:eastAsia="es-CL"/>
        </w:rPr>
        <w:lastRenderedPageBreak/>
        <w:drawing>
          <wp:inline distT="0" distB="0" distL="0" distR="0" wp14:anchorId="64129BF9" wp14:editId="02A6BD07">
            <wp:extent cx="1714500" cy="356763"/>
            <wp:effectExtent l="0" t="0" r="0" b="5715"/>
            <wp:docPr id="136238085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8769" cy="376379"/>
                    </a:xfrm>
                    <a:prstGeom prst="rect">
                      <a:avLst/>
                    </a:prstGeom>
                    <a:noFill/>
                  </pic:spPr>
                </pic:pic>
              </a:graphicData>
            </a:graphic>
          </wp:inline>
        </w:drawing>
      </w:r>
    </w:p>
    <w:p w14:paraId="3374477E" w14:textId="77777777" w:rsidR="00C6402F" w:rsidRPr="00CE349C" w:rsidRDefault="00C6402F" w:rsidP="00ED6409">
      <w:pPr>
        <w:pStyle w:val="Prrafodelista"/>
        <w:ind w:left="360"/>
        <w:jc w:val="center"/>
        <w:rPr>
          <w:b/>
          <w:bCs/>
          <w:sz w:val="16"/>
          <w:szCs w:val="16"/>
        </w:rPr>
      </w:pPr>
      <w:bookmarkStart w:id="1" w:name="_Hlk130933985"/>
      <w:bookmarkEnd w:id="1"/>
    </w:p>
    <w:p w14:paraId="3AE9FDD2" w14:textId="77777777" w:rsidR="00950F25" w:rsidRDefault="00950F25" w:rsidP="00950F25">
      <w:pPr>
        <w:pStyle w:val="Prrafodelista"/>
        <w:ind w:left="360"/>
        <w:jc w:val="center"/>
        <w:rPr>
          <w:b/>
          <w:bCs/>
          <w:sz w:val="36"/>
          <w:szCs w:val="36"/>
          <w:lang w:val="pt-PT"/>
        </w:rPr>
      </w:pPr>
      <w:r w:rsidRPr="00950F25">
        <w:rPr>
          <w:b/>
          <w:bCs/>
          <w:sz w:val="36"/>
          <w:szCs w:val="36"/>
          <w:lang w:val="pt-PT"/>
        </w:rPr>
        <w:t>PROGRAMA PRELIMINAR</w:t>
      </w:r>
    </w:p>
    <w:p w14:paraId="5FEAC409" w14:textId="77777777" w:rsidR="00950F25" w:rsidRPr="00950F25" w:rsidRDefault="00950F25" w:rsidP="00950F25">
      <w:pPr>
        <w:pStyle w:val="Prrafodelista"/>
        <w:ind w:left="360"/>
        <w:jc w:val="center"/>
        <w:rPr>
          <w:b/>
          <w:bCs/>
          <w:sz w:val="16"/>
          <w:szCs w:val="16"/>
          <w:lang w:val="pt-PT"/>
        </w:rPr>
      </w:pPr>
    </w:p>
    <w:p w14:paraId="3DBB28FF" w14:textId="77777777" w:rsidR="00950F25" w:rsidRDefault="00950F25" w:rsidP="00950F25">
      <w:pPr>
        <w:pStyle w:val="Prrafodelista"/>
        <w:ind w:left="360"/>
        <w:jc w:val="center"/>
        <w:rPr>
          <w:b/>
          <w:bCs/>
          <w:sz w:val="28"/>
          <w:szCs w:val="28"/>
          <w:lang w:val="pt-PT"/>
        </w:rPr>
      </w:pPr>
      <w:r w:rsidRPr="00950F25">
        <w:rPr>
          <w:b/>
          <w:bCs/>
          <w:sz w:val="28"/>
          <w:szCs w:val="28"/>
          <w:lang w:val="pt-PT"/>
        </w:rPr>
        <w:t>VISITAS INSTITUCIONALES</w:t>
      </w:r>
    </w:p>
    <w:p w14:paraId="28D6F07A" w14:textId="77777777" w:rsidR="00950F25" w:rsidRPr="00950F25" w:rsidRDefault="00950F25" w:rsidP="00950F25">
      <w:pPr>
        <w:pStyle w:val="Prrafodelista"/>
        <w:ind w:left="360"/>
        <w:jc w:val="center"/>
        <w:rPr>
          <w:b/>
          <w:bCs/>
          <w:sz w:val="16"/>
          <w:szCs w:val="16"/>
          <w:lang w:val="pt-PT"/>
        </w:rPr>
      </w:pPr>
    </w:p>
    <w:p w14:paraId="502091F5" w14:textId="77777777" w:rsidR="00950F25" w:rsidRPr="00950F25" w:rsidRDefault="00950F25" w:rsidP="00950F25">
      <w:pPr>
        <w:pStyle w:val="Prrafodelista"/>
        <w:ind w:left="360"/>
        <w:jc w:val="center"/>
        <w:rPr>
          <w:b/>
          <w:bCs/>
          <w:lang w:val="pt-PT"/>
        </w:rPr>
      </w:pPr>
      <w:r w:rsidRPr="00950F25">
        <w:rPr>
          <w:b/>
          <w:bCs/>
          <w:lang w:val="pt-PT"/>
        </w:rPr>
        <w:t>Tarde del 20 y mañana del 21 de octubre de 2026</w:t>
      </w:r>
    </w:p>
    <w:p w14:paraId="0AED0E7D" w14:textId="77777777" w:rsidR="00950F25" w:rsidRPr="005562B3" w:rsidRDefault="00950F25" w:rsidP="00950F25">
      <w:pPr>
        <w:pStyle w:val="Prrafodelista"/>
        <w:ind w:left="360"/>
        <w:jc w:val="both"/>
        <w:rPr>
          <w:sz w:val="16"/>
          <w:szCs w:val="16"/>
          <w:lang w:val="pt-PT"/>
        </w:rPr>
      </w:pPr>
    </w:p>
    <w:p w14:paraId="0C8C3D3F" w14:textId="20DE4AEC" w:rsidR="00950F25" w:rsidRDefault="00950F25" w:rsidP="00950F25">
      <w:pPr>
        <w:pStyle w:val="Prrafodelista"/>
        <w:ind w:left="360"/>
        <w:jc w:val="both"/>
        <w:rPr>
          <w:lang w:val="pt-PT"/>
        </w:rPr>
      </w:pPr>
      <w:r w:rsidRPr="00004424">
        <w:rPr>
          <w:lang w:val="es-CL"/>
        </w:rPr>
        <w:t xml:space="preserve">Periodo destinado a visitas a instituciones de educación superior del Área Metropolitana de Porto, durante la tarde del 20 y/o la mañana del 21 de octubre. Las visitas requieren inscripción previa a través del sitio web de la Cumbre, donde estarán disponibles las instituciones participantes, los programas y las correspondientes condiciones de participación. </w:t>
      </w:r>
      <w:r w:rsidRPr="00950F25">
        <w:rPr>
          <w:lang w:val="pt-PT"/>
        </w:rPr>
        <w:t>Las plazas son limitadas.</w:t>
      </w:r>
    </w:p>
    <w:p w14:paraId="5E0ED439" w14:textId="77777777" w:rsidR="005562B3" w:rsidRPr="00950F25" w:rsidRDefault="005562B3" w:rsidP="00950F25">
      <w:pPr>
        <w:pStyle w:val="Prrafodelista"/>
        <w:ind w:left="360"/>
        <w:jc w:val="both"/>
        <w:rPr>
          <w:sz w:val="16"/>
          <w:szCs w:val="16"/>
          <w:lang w:val="pt-PT"/>
        </w:rPr>
      </w:pPr>
    </w:p>
    <w:p w14:paraId="7668D766" w14:textId="77777777" w:rsidR="00950F25" w:rsidRPr="00950F25" w:rsidRDefault="00950F25" w:rsidP="00950F25">
      <w:pPr>
        <w:jc w:val="center"/>
        <w:rPr>
          <w:b/>
          <w:bCs/>
          <w:sz w:val="28"/>
          <w:szCs w:val="28"/>
          <w:lang w:val="pt-PT"/>
        </w:rPr>
      </w:pPr>
      <w:r w:rsidRPr="00950F25">
        <w:rPr>
          <w:b/>
          <w:bCs/>
          <w:sz w:val="28"/>
          <w:szCs w:val="28"/>
          <w:lang w:val="pt-PT"/>
        </w:rPr>
        <w:t>PRECONFERENCIA</w:t>
      </w:r>
    </w:p>
    <w:p w14:paraId="2F1C6C6D" w14:textId="77777777" w:rsidR="00950F25" w:rsidRPr="00950F25" w:rsidRDefault="00950F25" w:rsidP="00950F25">
      <w:pPr>
        <w:jc w:val="center"/>
        <w:rPr>
          <w:b/>
          <w:bCs/>
          <w:lang w:val="pt-PT"/>
        </w:rPr>
      </w:pPr>
      <w:r w:rsidRPr="00950F25">
        <w:rPr>
          <w:b/>
          <w:bCs/>
          <w:lang w:val="pt-PT"/>
        </w:rPr>
        <w:t>21 de octubre de 2026 – Universidad Portucalense</w:t>
      </w:r>
    </w:p>
    <w:p w14:paraId="0D909C15" w14:textId="3FA5303E" w:rsidR="005562B3" w:rsidRPr="005562B3" w:rsidRDefault="00950F25" w:rsidP="005562B3">
      <w:pPr>
        <w:jc w:val="center"/>
        <w:rPr>
          <w:sz w:val="16"/>
          <w:szCs w:val="16"/>
          <w:lang w:val="pt-PT"/>
        </w:rPr>
      </w:pPr>
      <w:r w:rsidRPr="00950F25">
        <w:rPr>
          <w:b/>
          <w:bCs/>
          <w:sz w:val="24"/>
          <w:szCs w:val="24"/>
          <w:lang w:val="pt-PT"/>
        </w:rPr>
        <w:t>Océanos y Economía Azul</w:t>
      </w:r>
      <w:r w:rsidRPr="00950F25">
        <w:rPr>
          <w:b/>
          <w:bCs/>
          <w:sz w:val="24"/>
          <w:szCs w:val="24"/>
          <w:lang w:val="pt-PT"/>
        </w:rPr>
        <w:br/>
        <w:t>Ciencia, Innovación y Tecnologías Emergentes para una Cooperación Sostenible</w:t>
      </w:r>
    </w:p>
    <w:p w14:paraId="545D14C7" w14:textId="3724EBC5" w:rsidR="00950F25" w:rsidRPr="00950F25" w:rsidRDefault="009E03BE" w:rsidP="00950F25">
      <w:pPr>
        <w:jc w:val="both"/>
        <w:rPr>
          <w:lang w:val="pt-PT"/>
        </w:rPr>
      </w:pPr>
      <w:r w:rsidRPr="009E03BE">
        <w:t>La preconferencia estará dedicada a los océanos como un espacio compartido de conocimiento, cooperación e innovación entre la Unión Europea, América Latina y el Caribe. Reunirá a representantes de los ámbitos académico, científico, institucional y empresarial para reflexionar sobre la contribución de la ciencia, las tecnologías emergentes y la innovación al desarrollo de una economía azul sostenible.</w:t>
      </w:r>
    </w:p>
    <w:p w14:paraId="13D6F932" w14:textId="77777777" w:rsidR="005562B3" w:rsidRPr="005562B3" w:rsidRDefault="005562B3" w:rsidP="005562B3">
      <w:pPr>
        <w:rPr>
          <w:lang w:val="pt-PT"/>
        </w:rPr>
      </w:pPr>
      <w:r w:rsidRPr="005562B3">
        <w:rPr>
          <w:lang w:val="pt-PT"/>
        </w:rPr>
        <w:t>14:00 – Recepción y acreditación de los participantes</w:t>
      </w:r>
    </w:p>
    <w:p w14:paraId="2E412B24" w14:textId="77777777" w:rsidR="005562B3" w:rsidRPr="005562B3" w:rsidRDefault="005562B3" w:rsidP="005562B3">
      <w:pPr>
        <w:jc w:val="both"/>
        <w:rPr>
          <w:lang w:val="pt-PT"/>
        </w:rPr>
      </w:pPr>
      <w:r w:rsidRPr="005562B3">
        <w:rPr>
          <w:lang w:val="pt-PT"/>
        </w:rPr>
        <w:t>14:30 – Sesión inaugural institucional</w:t>
      </w:r>
    </w:p>
    <w:p w14:paraId="1B263758" w14:textId="1520C784" w:rsidR="005562B3" w:rsidRPr="005562B3" w:rsidRDefault="005562B3" w:rsidP="005562B3">
      <w:pPr>
        <w:jc w:val="both"/>
        <w:rPr>
          <w:lang w:val="pt-PT"/>
        </w:rPr>
      </w:pPr>
      <w:r w:rsidRPr="005562B3">
        <w:rPr>
          <w:lang w:val="pt-PT"/>
        </w:rPr>
        <w:t>Intervención de Su Excelencia la Secretaria de Estado de Educación Superior, profesora doctora Cláudia Sarrico.</w:t>
      </w:r>
    </w:p>
    <w:p w14:paraId="3922B2B4" w14:textId="2425EBA2" w:rsidR="005562B3" w:rsidRPr="005562B3" w:rsidRDefault="005562B3" w:rsidP="005562B3">
      <w:pPr>
        <w:jc w:val="both"/>
        <w:rPr>
          <w:lang w:val="pt-PT"/>
        </w:rPr>
      </w:pPr>
      <w:r w:rsidRPr="005562B3">
        <w:rPr>
          <w:lang w:val="pt-PT"/>
        </w:rPr>
        <w:t>Palabras de bienvenida institucionales y presentación de la preconferencia en el marco de la VII Cumbre Académica Unión Europea–América Latina y el Caribe.</w:t>
      </w:r>
    </w:p>
    <w:p w14:paraId="032E7E6F" w14:textId="77777777" w:rsidR="005562B3" w:rsidRPr="005562B3" w:rsidRDefault="005562B3" w:rsidP="005562B3">
      <w:pPr>
        <w:rPr>
          <w:lang w:val="pt-PT"/>
        </w:rPr>
      </w:pPr>
      <w:r w:rsidRPr="005562B3">
        <w:rPr>
          <w:lang w:val="pt-PT"/>
        </w:rPr>
        <w:t>15:00 – Conferencia inaugural</w:t>
      </w:r>
      <w:r w:rsidRPr="005562B3">
        <w:rPr>
          <w:lang w:val="pt-PT"/>
        </w:rPr>
        <w:br/>
        <w:t>El océano en el siglo XXI: ciencia, innovación y cooperación para una economía azul sostenible</w:t>
      </w:r>
    </w:p>
    <w:p w14:paraId="29B5100A" w14:textId="77777777" w:rsidR="005562B3" w:rsidRPr="005562B3" w:rsidRDefault="005562B3" w:rsidP="005562B3">
      <w:pPr>
        <w:rPr>
          <w:lang w:val="pt-PT"/>
        </w:rPr>
      </w:pPr>
      <w:r w:rsidRPr="005562B3">
        <w:rPr>
          <w:lang w:val="pt-PT"/>
        </w:rPr>
        <w:t>16:00 – Panel I – Conocimiento, ciencia y tecnologías emergentes en la Economía Azul</w:t>
      </w:r>
    </w:p>
    <w:p w14:paraId="22350D74" w14:textId="77777777" w:rsidR="005562B3" w:rsidRPr="005562B3" w:rsidRDefault="005562B3" w:rsidP="005562B3">
      <w:pPr>
        <w:rPr>
          <w:lang w:val="pt-PT"/>
        </w:rPr>
      </w:pPr>
      <w:r w:rsidRPr="005562B3">
        <w:rPr>
          <w:lang w:val="pt-PT"/>
        </w:rPr>
        <w:t>17:00 – Pausa para café y networking</w:t>
      </w:r>
    </w:p>
    <w:p w14:paraId="6851DFFF" w14:textId="77777777" w:rsidR="005562B3" w:rsidRPr="00004424" w:rsidRDefault="005562B3" w:rsidP="005562B3">
      <w:pPr>
        <w:rPr>
          <w:lang w:val="es-CL"/>
        </w:rPr>
      </w:pPr>
      <w:r w:rsidRPr="00004424">
        <w:rPr>
          <w:lang w:val="es-CL"/>
        </w:rPr>
        <w:t>17:20 – Panel II – Del conocimiento al impacto: innovación, industria y cooperación atlántica</w:t>
      </w:r>
    </w:p>
    <w:p w14:paraId="280B3712" w14:textId="6BD2E3FD" w:rsidR="005562B3" w:rsidRPr="005562B3" w:rsidRDefault="005562B3" w:rsidP="005562B3">
      <w:pPr>
        <w:rPr>
          <w:lang w:val="pt-PT"/>
        </w:rPr>
      </w:pPr>
      <w:r w:rsidRPr="005562B3">
        <w:rPr>
          <w:lang w:val="pt-PT"/>
        </w:rPr>
        <w:t>18:20 – Mesa redonda de síntesis</w:t>
      </w:r>
      <w:r w:rsidRPr="005562B3">
        <w:rPr>
          <w:lang w:val="pt-PT"/>
        </w:rPr>
        <w:br/>
        <w:t>Cooperación para la Ciencia, la Innovación y el Desarrollo Sostenible</w:t>
      </w:r>
    </w:p>
    <w:p w14:paraId="514C6390" w14:textId="77777777" w:rsidR="005562B3" w:rsidRPr="005562B3" w:rsidRDefault="005562B3" w:rsidP="005562B3">
      <w:pPr>
        <w:rPr>
          <w:lang w:val="pt-PT"/>
        </w:rPr>
      </w:pPr>
      <w:r w:rsidRPr="005562B3">
        <w:rPr>
          <w:lang w:val="pt-PT"/>
        </w:rPr>
        <w:t>18:50 – Sesión de clausura</w:t>
      </w:r>
    </w:p>
    <w:p w14:paraId="7A9463BA" w14:textId="77777777" w:rsidR="005562B3" w:rsidRPr="005562B3" w:rsidRDefault="005562B3" w:rsidP="005562B3">
      <w:pPr>
        <w:rPr>
          <w:lang w:val="pt-PT"/>
        </w:rPr>
      </w:pPr>
      <w:r w:rsidRPr="005562B3">
        <w:rPr>
          <w:lang w:val="pt-PT"/>
        </w:rPr>
        <w:t>19:30 – Cena institucional y networking</w:t>
      </w:r>
    </w:p>
    <w:p w14:paraId="767165C3" w14:textId="12C724B1" w:rsidR="00C6402F" w:rsidRDefault="00C6402F" w:rsidP="00C6402F">
      <w:pPr>
        <w:jc w:val="center"/>
        <w:rPr>
          <w:b/>
          <w:bCs/>
          <w:sz w:val="28"/>
          <w:szCs w:val="28"/>
        </w:rPr>
      </w:pPr>
      <w:r>
        <w:rPr>
          <w:b/>
          <w:bCs/>
          <w:noProof/>
          <w:sz w:val="28"/>
          <w:szCs w:val="28"/>
          <w:lang w:val="es-CL" w:eastAsia="es-CL"/>
        </w:rPr>
        <w:lastRenderedPageBreak/>
        <w:drawing>
          <wp:inline distT="0" distB="0" distL="0" distR="0" wp14:anchorId="761FD89D" wp14:editId="49C3643C">
            <wp:extent cx="1895322" cy="394390"/>
            <wp:effectExtent l="0" t="0" r="0" b="5715"/>
            <wp:docPr id="20814994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5463" cy="413147"/>
                    </a:xfrm>
                    <a:prstGeom prst="rect">
                      <a:avLst/>
                    </a:prstGeom>
                    <a:noFill/>
                  </pic:spPr>
                </pic:pic>
              </a:graphicData>
            </a:graphic>
          </wp:inline>
        </w:drawing>
      </w:r>
    </w:p>
    <w:p w14:paraId="77503496" w14:textId="77777777" w:rsidR="005562B3" w:rsidRPr="005562B3" w:rsidRDefault="005562B3" w:rsidP="005562B3">
      <w:pPr>
        <w:jc w:val="center"/>
        <w:rPr>
          <w:b/>
          <w:bCs/>
          <w:sz w:val="36"/>
          <w:szCs w:val="36"/>
          <w:lang w:val="pt-PT"/>
        </w:rPr>
      </w:pPr>
      <w:r w:rsidRPr="005562B3">
        <w:rPr>
          <w:b/>
          <w:bCs/>
          <w:sz w:val="36"/>
          <w:szCs w:val="36"/>
          <w:lang w:val="pt-PT"/>
        </w:rPr>
        <w:t>PROGRAMA PRELIMINAR</w:t>
      </w:r>
    </w:p>
    <w:p w14:paraId="1E413958" w14:textId="77777777" w:rsidR="00C2366E" w:rsidRPr="00C2366E" w:rsidRDefault="00C2366E" w:rsidP="005562B3">
      <w:pPr>
        <w:jc w:val="center"/>
        <w:rPr>
          <w:b/>
          <w:bCs/>
          <w:sz w:val="16"/>
          <w:szCs w:val="16"/>
          <w:lang w:val="pt-PT"/>
        </w:rPr>
      </w:pPr>
    </w:p>
    <w:p w14:paraId="16EF371D" w14:textId="76405D1E" w:rsidR="005562B3" w:rsidRPr="005562B3" w:rsidRDefault="005562B3" w:rsidP="005562B3">
      <w:pPr>
        <w:jc w:val="center"/>
        <w:rPr>
          <w:b/>
          <w:bCs/>
          <w:sz w:val="28"/>
          <w:szCs w:val="28"/>
          <w:lang w:val="pt-PT"/>
        </w:rPr>
      </w:pPr>
      <w:r w:rsidRPr="005562B3">
        <w:rPr>
          <w:b/>
          <w:bCs/>
          <w:sz w:val="28"/>
          <w:szCs w:val="28"/>
          <w:lang w:val="pt-PT"/>
        </w:rPr>
        <w:t>VII CUMBRE ACADÉMICA ALC–UE</w:t>
      </w:r>
    </w:p>
    <w:p w14:paraId="72220F53" w14:textId="77777777" w:rsidR="005562B3" w:rsidRPr="005562B3" w:rsidRDefault="005562B3" w:rsidP="005562B3">
      <w:pPr>
        <w:jc w:val="center"/>
        <w:rPr>
          <w:b/>
          <w:bCs/>
          <w:lang w:val="pt-PT"/>
        </w:rPr>
      </w:pPr>
      <w:r w:rsidRPr="005562B3">
        <w:rPr>
          <w:b/>
          <w:bCs/>
          <w:lang w:val="pt-PT"/>
        </w:rPr>
        <w:t>22 de octubre de 2026 – Universidad de Maia</w:t>
      </w:r>
    </w:p>
    <w:p w14:paraId="647EF9C1" w14:textId="77777777" w:rsidR="00C2366E" w:rsidRPr="00C2366E" w:rsidRDefault="00C2366E" w:rsidP="005562B3">
      <w:pPr>
        <w:rPr>
          <w:sz w:val="16"/>
          <w:szCs w:val="16"/>
          <w:lang w:val="pt-PT"/>
        </w:rPr>
      </w:pPr>
    </w:p>
    <w:p w14:paraId="1FB2E169" w14:textId="56004C61" w:rsidR="005562B3" w:rsidRPr="005562B3" w:rsidRDefault="005562B3" w:rsidP="005562B3">
      <w:pPr>
        <w:rPr>
          <w:lang w:val="pt-PT"/>
        </w:rPr>
      </w:pPr>
      <w:r w:rsidRPr="005562B3">
        <w:rPr>
          <w:lang w:val="pt-PT"/>
        </w:rPr>
        <w:t>08:30 – Acreditación de los participantes</w:t>
      </w:r>
    </w:p>
    <w:p w14:paraId="2C7E2F2B" w14:textId="77777777" w:rsidR="005562B3" w:rsidRPr="005562B3" w:rsidRDefault="005562B3" w:rsidP="005562B3">
      <w:pPr>
        <w:rPr>
          <w:lang w:val="pt-PT"/>
        </w:rPr>
      </w:pPr>
      <w:r w:rsidRPr="005562B3">
        <w:rPr>
          <w:lang w:val="pt-PT"/>
        </w:rPr>
        <w:t>09:00 – Sesión inaugural solemne</w:t>
      </w:r>
      <w:r w:rsidRPr="005562B3">
        <w:rPr>
          <w:lang w:val="pt-PT"/>
        </w:rPr>
        <w:br/>
        <w:t>Palabras de bienvenida institucionales y apertura oficial de la VII Cumbre Académica Unión Europea–América Latina y el Caribe.</w:t>
      </w:r>
    </w:p>
    <w:p w14:paraId="7FE45D08" w14:textId="77777777" w:rsidR="005562B3" w:rsidRPr="005562B3" w:rsidRDefault="005562B3" w:rsidP="005562B3">
      <w:pPr>
        <w:rPr>
          <w:lang w:val="pt-PT"/>
        </w:rPr>
      </w:pPr>
      <w:r w:rsidRPr="005562B3">
        <w:rPr>
          <w:lang w:val="pt-PT"/>
        </w:rPr>
        <w:t>10:00 – Conferencia inaugural</w:t>
      </w:r>
    </w:p>
    <w:p w14:paraId="76D208FE" w14:textId="77777777" w:rsidR="005562B3" w:rsidRPr="005562B3" w:rsidRDefault="005562B3" w:rsidP="005562B3">
      <w:pPr>
        <w:rPr>
          <w:lang w:val="pt-PT"/>
        </w:rPr>
      </w:pPr>
      <w:r w:rsidRPr="005562B3">
        <w:rPr>
          <w:lang w:val="pt-PT"/>
        </w:rPr>
        <w:t>10:45 – Fotografía oficial y pausa para café</w:t>
      </w:r>
    </w:p>
    <w:p w14:paraId="72AFF9AC" w14:textId="77777777" w:rsidR="005562B3" w:rsidRPr="005562B3" w:rsidRDefault="005562B3" w:rsidP="005562B3">
      <w:pPr>
        <w:rPr>
          <w:lang w:val="pt-PT"/>
        </w:rPr>
      </w:pPr>
      <w:r w:rsidRPr="005562B3">
        <w:rPr>
          <w:lang w:val="pt-PT"/>
        </w:rPr>
        <w:t>11:15 – Panel: El Espacio Común ALC–UE: un pilar académico de la Asociación Estratégica ALC–UE</w:t>
      </w:r>
    </w:p>
    <w:p w14:paraId="640A2FFF" w14:textId="77777777" w:rsidR="005562B3" w:rsidRPr="005562B3" w:rsidRDefault="005562B3" w:rsidP="005562B3">
      <w:pPr>
        <w:rPr>
          <w:lang w:val="pt-PT"/>
        </w:rPr>
      </w:pPr>
      <w:r w:rsidRPr="005562B3">
        <w:rPr>
          <w:lang w:val="pt-PT"/>
        </w:rPr>
        <w:t>12:45 – Almuerzo institucional</w:t>
      </w:r>
    </w:p>
    <w:p w14:paraId="75E034DB" w14:textId="77777777" w:rsidR="005562B3" w:rsidRPr="005562B3" w:rsidRDefault="005562B3" w:rsidP="005562B3">
      <w:pPr>
        <w:rPr>
          <w:lang w:val="pt-PT"/>
        </w:rPr>
      </w:pPr>
      <w:r w:rsidRPr="005562B3">
        <w:rPr>
          <w:lang w:val="pt-PT"/>
        </w:rPr>
        <w:t>14:30 – Sesiones temáticas paralelas</w:t>
      </w:r>
    </w:p>
    <w:p w14:paraId="3558B2FD" w14:textId="77777777" w:rsidR="005562B3" w:rsidRPr="005562B3" w:rsidRDefault="005562B3" w:rsidP="00C2366E">
      <w:pPr>
        <w:spacing w:line="276" w:lineRule="auto"/>
        <w:rPr>
          <w:lang w:val="pt-PT"/>
        </w:rPr>
      </w:pPr>
      <w:r w:rsidRPr="005562B3">
        <w:rPr>
          <w:b/>
          <w:bCs/>
          <w:lang w:val="pt-PT"/>
        </w:rPr>
        <w:t>Grupo 1 – Educación Superior, Paz y Estabilidad</w:t>
      </w:r>
      <w:r w:rsidRPr="005562B3">
        <w:rPr>
          <w:b/>
          <w:bCs/>
          <w:lang w:val="pt-PT"/>
        </w:rPr>
        <w:br/>
      </w:r>
      <w:r w:rsidRPr="005562B3">
        <w:rPr>
          <w:lang w:val="pt-PT"/>
        </w:rPr>
        <w:t>Temas: Educación superior y cohesión social; educación para la ciudadanía democrática; universidades y cultura de paz; diálogo intercultural; cooperación académica y estabilidad internacional.</w:t>
      </w:r>
    </w:p>
    <w:p w14:paraId="26D77073" w14:textId="77777777" w:rsidR="005562B3" w:rsidRPr="005562B3" w:rsidRDefault="005562B3" w:rsidP="00C2366E">
      <w:pPr>
        <w:spacing w:line="276" w:lineRule="auto"/>
        <w:rPr>
          <w:lang w:val="pt-PT"/>
        </w:rPr>
      </w:pPr>
      <w:r w:rsidRPr="005562B3">
        <w:rPr>
          <w:b/>
          <w:bCs/>
          <w:lang w:val="pt-PT"/>
        </w:rPr>
        <w:t>Grupo 2 – Espacio Común ALC–UE: de la visión a la implementación</w:t>
      </w:r>
      <w:r w:rsidRPr="005562B3">
        <w:rPr>
          <w:b/>
          <w:bCs/>
          <w:lang w:val="pt-PT"/>
        </w:rPr>
        <w:br/>
      </w:r>
      <w:r w:rsidRPr="005562B3">
        <w:rPr>
          <w:lang w:val="pt-PT"/>
        </w:rPr>
        <w:t>Temas: Reconocimiento académico; acreditación y garantía de la calidad; microcredenciales; movilidad; interoperabilidad de los sistemas; cooperación regulatoria.</w:t>
      </w:r>
    </w:p>
    <w:p w14:paraId="3201ABC4" w14:textId="77777777" w:rsidR="005562B3" w:rsidRPr="005562B3" w:rsidRDefault="005562B3" w:rsidP="00C2366E">
      <w:pPr>
        <w:spacing w:line="276" w:lineRule="auto"/>
        <w:rPr>
          <w:lang w:val="pt-PT"/>
        </w:rPr>
      </w:pPr>
      <w:r w:rsidRPr="005562B3">
        <w:rPr>
          <w:b/>
          <w:bCs/>
          <w:lang w:val="pt-PT"/>
        </w:rPr>
        <w:t>Grupo 3 – Educación Superior y Transiciones Globales</w:t>
      </w:r>
      <w:r w:rsidRPr="005562B3">
        <w:rPr>
          <w:b/>
          <w:bCs/>
          <w:lang w:val="pt-PT"/>
        </w:rPr>
        <w:br/>
      </w:r>
      <w:r w:rsidRPr="005562B3">
        <w:rPr>
          <w:lang w:val="pt-PT"/>
        </w:rPr>
        <w:t>Temas: Inteligencia artificial; transformación digital; sostenibilidad; transición energética; desarrollo sostenible; competencias para el futuro.</w:t>
      </w:r>
    </w:p>
    <w:p w14:paraId="05275CB1" w14:textId="77777777" w:rsidR="005562B3" w:rsidRPr="005562B3" w:rsidRDefault="005562B3" w:rsidP="00C2366E">
      <w:pPr>
        <w:spacing w:line="276" w:lineRule="auto"/>
        <w:rPr>
          <w:lang w:val="pt-PT"/>
        </w:rPr>
      </w:pPr>
      <w:r w:rsidRPr="005562B3">
        <w:rPr>
          <w:b/>
          <w:bCs/>
          <w:lang w:val="pt-PT"/>
        </w:rPr>
        <w:t>Grupo 4 – Redes Académicas y Diplomacia del Conocimiento</w:t>
      </w:r>
      <w:r w:rsidRPr="005562B3">
        <w:rPr>
          <w:b/>
          <w:bCs/>
          <w:lang w:val="pt-PT"/>
        </w:rPr>
        <w:br/>
      </w:r>
      <w:r w:rsidRPr="005562B3">
        <w:rPr>
          <w:lang w:val="pt-PT"/>
        </w:rPr>
        <w:t>Temas: Redes universitarias internacionales; internacionalización; diplomacia científica; cooperación UE–ALC–África; nuevos modelos de colaboración académica.</w:t>
      </w:r>
    </w:p>
    <w:p w14:paraId="521BA7A6" w14:textId="77777777" w:rsidR="005562B3" w:rsidRPr="005562B3" w:rsidRDefault="005562B3" w:rsidP="005562B3">
      <w:pPr>
        <w:rPr>
          <w:lang w:val="pt-PT"/>
        </w:rPr>
      </w:pPr>
      <w:r w:rsidRPr="005562B3">
        <w:rPr>
          <w:lang w:val="pt-PT"/>
        </w:rPr>
        <w:t>17:30 – Pausa para café</w:t>
      </w:r>
    </w:p>
    <w:p w14:paraId="09FB71BC" w14:textId="77777777" w:rsidR="005562B3" w:rsidRPr="005562B3" w:rsidRDefault="005562B3" w:rsidP="005562B3">
      <w:pPr>
        <w:rPr>
          <w:lang w:val="pt-PT"/>
        </w:rPr>
      </w:pPr>
      <w:r w:rsidRPr="005562B3">
        <w:rPr>
          <w:lang w:val="pt-PT"/>
        </w:rPr>
        <w:t>18:00 – Sesión especial: El Atlántico como espacio de conocimiento, cooperación e innovación</w:t>
      </w:r>
      <w:r w:rsidRPr="005562B3">
        <w:rPr>
          <w:lang w:val="pt-PT"/>
        </w:rPr>
        <w:br/>
        <w:t>Participación de representantes de Europa, América Latina, el Caribe y África.</w:t>
      </w:r>
    </w:p>
    <w:p w14:paraId="0E46F864" w14:textId="4938D2D4" w:rsidR="005562B3" w:rsidRDefault="005562B3" w:rsidP="005562B3">
      <w:pPr>
        <w:rPr>
          <w:lang w:val="pt-PT"/>
        </w:rPr>
      </w:pPr>
      <w:r w:rsidRPr="005562B3">
        <w:rPr>
          <w:lang w:val="pt-PT"/>
        </w:rPr>
        <w:t>19:30 – Cena oficial de la VII Cumbre Académica ALC–</w:t>
      </w:r>
      <w:r w:rsidR="00C2366E">
        <w:rPr>
          <w:lang w:val="pt-PT"/>
        </w:rPr>
        <w:t>EU</w:t>
      </w:r>
    </w:p>
    <w:p w14:paraId="6252278E" w14:textId="77777777" w:rsidR="0095645E" w:rsidRDefault="0095645E" w:rsidP="00C2366E">
      <w:pPr>
        <w:jc w:val="center"/>
        <w:rPr>
          <w:b/>
          <w:bCs/>
          <w:sz w:val="28"/>
          <w:szCs w:val="28"/>
          <w:lang w:val="pt-PT"/>
        </w:rPr>
      </w:pPr>
    </w:p>
    <w:p w14:paraId="2CFA8465" w14:textId="1846770F" w:rsidR="00C2366E" w:rsidRPr="00C2366E" w:rsidRDefault="00C2366E" w:rsidP="00C2366E">
      <w:pPr>
        <w:jc w:val="center"/>
        <w:rPr>
          <w:b/>
          <w:bCs/>
          <w:sz w:val="28"/>
          <w:szCs w:val="28"/>
          <w:lang w:val="pt-PT"/>
        </w:rPr>
      </w:pPr>
      <w:r w:rsidRPr="00C2366E">
        <w:rPr>
          <w:b/>
          <w:bCs/>
          <w:sz w:val="28"/>
          <w:szCs w:val="28"/>
          <w:lang w:val="pt-PT"/>
        </w:rPr>
        <w:lastRenderedPageBreak/>
        <w:t>23 de octubre de 2026 – Universidad de Maia</w:t>
      </w:r>
    </w:p>
    <w:p w14:paraId="043A80B6" w14:textId="6B695E3D" w:rsidR="00C2366E" w:rsidRPr="00C2366E" w:rsidRDefault="00C2366E" w:rsidP="00C2366E">
      <w:pPr>
        <w:jc w:val="both"/>
        <w:rPr>
          <w:lang w:val="pt-PT"/>
        </w:rPr>
      </w:pPr>
      <w:r w:rsidRPr="00C2366E">
        <w:rPr>
          <w:lang w:val="pt-PT"/>
        </w:rPr>
        <w:t>09:00 – Sesión plenária</w:t>
      </w:r>
    </w:p>
    <w:p w14:paraId="4B9F5FC5" w14:textId="445149FD" w:rsidR="00C2366E" w:rsidRPr="00C2366E" w:rsidRDefault="00C2366E" w:rsidP="00C2366E">
      <w:pPr>
        <w:jc w:val="both"/>
        <w:rPr>
          <w:lang w:val="pt-PT"/>
        </w:rPr>
      </w:pPr>
      <w:r w:rsidRPr="00C2366E">
        <w:rPr>
          <w:lang w:val="pt-PT"/>
        </w:rPr>
        <w:t>Presentación de los informes de conclusiones y recomendaciones a cargo de los coordinadores de los grupos temáticos.</w:t>
      </w:r>
    </w:p>
    <w:p w14:paraId="3C29E0C2" w14:textId="77777777" w:rsidR="00C2366E" w:rsidRPr="00C2366E" w:rsidRDefault="00C2366E" w:rsidP="00C2366E">
      <w:pPr>
        <w:jc w:val="both"/>
        <w:rPr>
          <w:lang w:val="pt-PT"/>
        </w:rPr>
      </w:pPr>
      <w:r w:rsidRPr="00C2366E">
        <w:rPr>
          <w:lang w:val="pt-PT"/>
        </w:rPr>
        <w:t>10:30 – Pausa para café</w:t>
      </w:r>
    </w:p>
    <w:p w14:paraId="6DA6A004" w14:textId="77777777" w:rsidR="0095645E" w:rsidRPr="0095645E" w:rsidRDefault="00C2366E" w:rsidP="00C2366E">
      <w:pPr>
        <w:jc w:val="both"/>
      </w:pPr>
      <w:r w:rsidRPr="0095645E">
        <w:rPr>
          <w:lang w:val="pt-PT"/>
        </w:rPr>
        <w:t xml:space="preserve">11:00 – Panel final – </w:t>
      </w:r>
      <w:r w:rsidR="0095645E" w:rsidRPr="0095645E">
        <w:t>Europa, América Latina, el Caribe y África: hacia una agenda común para el conocimiento, la cooperación y el desarrollo.</w:t>
      </w:r>
    </w:p>
    <w:p w14:paraId="49D1B3E4" w14:textId="6ABE2D74" w:rsidR="00C2366E" w:rsidRPr="0095645E" w:rsidRDefault="0095645E" w:rsidP="00C2366E">
      <w:pPr>
        <w:jc w:val="both"/>
        <w:rPr>
          <w:lang w:val="pt-PT"/>
        </w:rPr>
      </w:pPr>
      <w:r w:rsidRPr="0095645E">
        <w:t>Temas: Perspectivas para la próxima década; desafíos geopolíticos; ciencia, innovación y desarrollo sostenible; el papel de la educación superior.</w:t>
      </w:r>
    </w:p>
    <w:p w14:paraId="7868FEEF" w14:textId="77777777" w:rsidR="00C2366E" w:rsidRPr="00C2366E" w:rsidRDefault="00C2366E" w:rsidP="00C2366E">
      <w:pPr>
        <w:jc w:val="both"/>
        <w:rPr>
          <w:lang w:val="pt-PT"/>
        </w:rPr>
      </w:pPr>
      <w:r w:rsidRPr="00C2366E">
        <w:rPr>
          <w:lang w:val="pt-PT"/>
        </w:rPr>
        <w:t>12:30 – Presentación y aprobación de la Declaración de Maia</w:t>
      </w:r>
    </w:p>
    <w:p w14:paraId="6F09032B" w14:textId="77777777" w:rsidR="00C2366E" w:rsidRPr="00C2366E" w:rsidRDefault="00C2366E" w:rsidP="00C2366E">
      <w:pPr>
        <w:jc w:val="both"/>
        <w:rPr>
          <w:lang w:val="pt-PT"/>
        </w:rPr>
      </w:pPr>
      <w:r w:rsidRPr="00C2366E">
        <w:rPr>
          <w:lang w:val="pt-PT"/>
        </w:rPr>
        <w:t>13:00 – Sesión de clausura institucional</w:t>
      </w:r>
    </w:p>
    <w:p w14:paraId="47CB7BA3" w14:textId="77777777" w:rsidR="00C2366E" w:rsidRPr="00C2366E" w:rsidRDefault="00C2366E" w:rsidP="00C2366E">
      <w:pPr>
        <w:jc w:val="both"/>
        <w:rPr>
          <w:lang w:val="pt-PT"/>
        </w:rPr>
      </w:pPr>
      <w:r w:rsidRPr="00C2366E">
        <w:rPr>
          <w:lang w:val="pt-PT"/>
        </w:rPr>
        <w:t>13:45 – Clausura oficial de la VII Cumbre Académica</w:t>
      </w:r>
    </w:p>
    <w:p w14:paraId="2A2AC878" w14:textId="77777777" w:rsidR="00C2366E" w:rsidRPr="00C2366E" w:rsidRDefault="00C2366E" w:rsidP="00C2366E">
      <w:pPr>
        <w:jc w:val="center"/>
        <w:rPr>
          <w:b/>
          <w:bCs/>
          <w:sz w:val="28"/>
          <w:szCs w:val="28"/>
          <w:lang w:val="pt-PT"/>
        </w:rPr>
      </w:pPr>
      <w:r w:rsidRPr="00C2366E">
        <w:rPr>
          <w:b/>
          <w:bCs/>
          <w:sz w:val="28"/>
          <w:szCs w:val="28"/>
          <w:lang w:val="pt-PT"/>
        </w:rPr>
        <w:t>INSCRIPCIÓN</w:t>
      </w:r>
    </w:p>
    <w:p w14:paraId="46596395" w14:textId="77777777" w:rsidR="00C2366E" w:rsidRPr="00004424" w:rsidRDefault="00C2366E" w:rsidP="00C2366E">
      <w:pPr>
        <w:jc w:val="both"/>
        <w:rPr>
          <w:lang w:val="es-CL"/>
        </w:rPr>
      </w:pPr>
      <w:r w:rsidRPr="00004424">
        <w:rPr>
          <w:lang w:val="es-CL"/>
        </w:rPr>
        <w:t>Las inscripciones, así como toda la información actualizada sobre el programa, las visitas institucionales y los aspectos prácticos de la Cumbre, están disponibles en el sitio web oficial del evento:</w:t>
      </w:r>
    </w:p>
    <w:p w14:paraId="679442B6" w14:textId="6854A57C" w:rsidR="00A82B82" w:rsidRPr="00C2366E" w:rsidRDefault="00A82B82" w:rsidP="00C2366E">
      <w:pPr>
        <w:jc w:val="both"/>
        <w:rPr>
          <w:lang w:val="pt-PT"/>
        </w:rPr>
      </w:pPr>
      <w:r w:rsidRPr="00A82B82">
        <w:rPr>
          <w:b/>
          <w:bCs/>
        </w:rPr>
        <w:t>Enlace de inscripción:</w:t>
      </w:r>
      <w:r>
        <w:rPr>
          <w:b/>
          <w:bCs/>
        </w:rPr>
        <w:t xml:space="preserve"> </w:t>
      </w:r>
      <w:hyperlink r:id="rId17" w:history="1">
        <w:r w:rsidRPr="00A82B82">
          <w:rPr>
            <w:rStyle w:val="Hipervnculo"/>
            <w:b/>
            <w:bCs/>
          </w:rPr>
          <w:t>VII Cimeira Académica América Latina e Caraíbas – União Europeia</w:t>
        </w:r>
      </w:hyperlink>
    </w:p>
    <w:p w14:paraId="1AE219DA" w14:textId="6B373544" w:rsidR="00355025" w:rsidRPr="00355025" w:rsidRDefault="00A82B82" w:rsidP="00A82B82">
      <w:pPr>
        <w:rPr>
          <w:b/>
          <w:bCs/>
          <w:lang w:val="pt-PT"/>
        </w:rPr>
      </w:pPr>
      <w:r w:rsidRPr="00A82B82">
        <w:rPr>
          <w:b/>
          <w:bCs/>
        </w:rPr>
        <w:t>Sitio web oficial de la Cumbre:</w:t>
      </w:r>
      <w:r>
        <w:t xml:space="preserve"> </w:t>
      </w:r>
      <w:hyperlink r:id="rId18" w:history="1">
        <w:r w:rsidR="00355025" w:rsidRPr="00355025">
          <w:rPr>
            <w:rStyle w:val="Hipervnculo"/>
            <w:b/>
            <w:bCs/>
            <w:lang w:val="pt-PT"/>
          </w:rPr>
          <w:t>https://www.umaia.pt/pt/eventos/VII-cimeira</w:t>
        </w:r>
      </w:hyperlink>
    </w:p>
    <w:p w14:paraId="0FB599D9" w14:textId="77777777" w:rsidR="00A82B82" w:rsidRPr="00A82B82" w:rsidRDefault="00A82B82" w:rsidP="00A82B82">
      <w:pPr>
        <w:jc w:val="both"/>
        <w:rPr>
          <w:lang w:val="pt-PT"/>
        </w:rPr>
      </w:pPr>
      <w:r w:rsidRPr="00A82B82">
        <w:rPr>
          <w:lang w:val="pt-PT"/>
        </w:rPr>
        <w:t>Si está visualizando este documento en un ordenador y los enlaces no se abren automáticamente, mantenga pulsada la tecla Ctrl y haga clic en el enlace correspondiente.</w:t>
      </w:r>
    </w:p>
    <w:p w14:paraId="44DBE596" w14:textId="77777777" w:rsidR="00A82B82" w:rsidRPr="00A82B82" w:rsidRDefault="00A82B82" w:rsidP="00A82B82">
      <w:pPr>
        <w:jc w:val="center"/>
        <w:rPr>
          <w:b/>
          <w:bCs/>
          <w:lang w:val="pt-PT"/>
        </w:rPr>
      </w:pPr>
      <w:r w:rsidRPr="00A82B82">
        <w:rPr>
          <w:b/>
          <w:bCs/>
          <w:lang w:val="pt-PT"/>
        </w:rPr>
        <w:t>Fecha límite de inscripción: 30 de septiembre de 2026.</w:t>
      </w:r>
    </w:p>
    <w:p w14:paraId="43037778" w14:textId="77777777" w:rsidR="00A82B82" w:rsidRPr="00A82B82" w:rsidRDefault="00A82B82" w:rsidP="00A82B82">
      <w:pPr>
        <w:jc w:val="both"/>
        <w:rPr>
          <w:lang w:val="pt-PT"/>
        </w:rPr>
      </w:pPr>
      <w:r w:rsidRPr="00A82B82">
        <w:rPr>
          <w:lang w:val="pt-PT"/>
        </w:rPr>
        <w:t>La inscripción es gratuita, pero está sujeta a la disponibilidad de plazas. Se recomienda realizarla con la mayor antelación posible.</w:t>
      </w:r>
    </w:p>
    <w:p w14:paraId="5CC01F46" w14:textId="77777777" w:rsidR="00A82B82" w:rsidRDefault="00A82B82" w:rsidP="00A82B82">
      <w:pPr>
        <w:jc w:val="both"/>
        <w:rPr>
          <w:b/>
          <w:bCs/>
        </w:rPr>
      </w:pPr>
    </w:p>
    <w:p w14:paraId="1305F13C" w14:textId="77777777" w:rsidR="00C2366E" w:rsidRPr="00C2366E" w:rsidRDefault="00C2366E" w:rsidP="00C2366E">
      <w:pPr>
        <w:jc w:val="center"/>
        <w:rPr>
          <w:b/>
          <w:bCs/>
          <w:sz w:val="28"/>
          <w:szCs w:val="28"/>
          <w:lang w:val="pt-PT"/>
        </w:rPr>
      </w:pPr>
      <w:r w:rsidRPr="00C2366E">
        <w:rPr>
          <w:b/>
          <w:bCs/>
          <w:sz w:val="28"/>
          <w:szCs w:val="28"/>
          <w:lang w:val="pt-PT"/>
        </w:rPr>
        <w:t>INFORMACIÓN ÚTIL</w:t>
      </w:r>
    </w:p>
    <w:p w14:paraId="660434E8" w14:textId="77777777" w:rsidR="00C2366E" w:rsidRPr="00004424" w:rsidRDefault="00C2366E" w:rsidP="00C2366E">
      <w:pPr>
        <w:jc w:val="both"/>
        <w:rPr>
          <w:lang w:val="es-CL"/>
        </w:rPr>
      </w:pPr>
      <w:r w:rsidRPr="00004424">
        <w:rPr>
          <w:lang w:val="es-CL"/>
        </w:rPr>
        <w:t>Se recomienda a los participantes planificar su llegada en función de las actividades en las que deseen participar. Las visitas institucionales, previamente programadas a través del sitio web de la Cumbre, se desarrollarán durante la tarde del 20 y la mañana del 21 de octubre; la preconferencia tendrá lugar el 21 de octubre en la Universidad Portucalense, en Porto; y la VII Cumbre Académica se celebrará los días 22 y 23 de octubre en la Universidad de Maia (UMAIA), en Maia.</w:t>
      </w:r>
    </w:p>
    <w:p w14:paraId="4A6E8544" w14:textId="77777777" w:rsidR="00C2366E" w:rsidRPr="00004424" w:rsidRDefault="00C2366E" w:rsidP="00C2366E">
      <w:pPr>
        <w:jc w:val="both"/>
        <w:rPr>
          <w:sz w:val="28"/>
          <w:szCs w:val="28"/>
          <w:lang w:val="es-CL"/>
        </w:rPr>
      </w:pPr>
      <w:r w:rsidRPr="00004424">
        <w:rPr>
          <w:lang w:val="es-CL"/>
        </w:rPr>
        <w:t>La información actualizada sobre los alojamientos recomendados, el transporte, el programa social y otros aspectos logísticos estará disponible en el sitio web oficial del evento</w:t>
      </w:r>
      <w:r w:rsidRPr="00004424">
        <w:rPr>
          <w:sz w:val="28"/>
          <w:szCs w:val="28"/>
          <w:lang w:val="es-CL"/>
        </w:rPr>
        <w:t>.</w:t>
      </w:r>
    </w:p>
    <w:p w14:paraId="07655600" w14:textId="77777777" w:rsidR="00F1062B" w:rsidRPr="00004424" w:rsidRDefault="00F1062B" w:rsidP="00C2366E">
      <w:pPr>
        <w:jc w:val="both"/>
        <w:rPr>
          <w:b/>
          <w:bCs/>
          <w:sz w:val="16"/>
          <w:szCs w:val="16"/>
          <w:lang w:val="es-CL"/>
        </w:rPr>
      </w:pPr>
    </w:p>
    <w:p w14:paraId="68FFD42C" w14:textId="77777777" w:rsidR="00A82B82" w:rsidRDefault="00A82B82" w:rsidP="006A70AC">
      <w:pPr>
        <w:jc w:val="center"/>
        <w:rPr>
          <w:rFonts w:cstheme="minorHAnsi"/>
          <w:b/>
          <w:bCs/>
          <w:sz w:val="28"/>
          <w:szCs w:val="28"/>
        </w:rPr>
      </w:pPr>
    </w:p>
    <w:p w14:paraId="73A8C433" w14:textId="3FA19894" w:rsidR="006A70AC" w:rsidRPr="006A70AC" w:rsidRDefault="00A82B82" w:rsidP="006A70AC">
      <w:pPr>
        <w:jc w:val="center"/>
        <w:rPr>
          <w:rFonts w:cstheme="minorHAnsi"/>
          <w:b/>
          <w:bCs/>
          <w:sz w:val="28"/>
          <w:szCs w:val="28"/>
          <w:lang w:val="pt-PT"/>
        </w:rPr>
      </w:pPr>
      <w:r w:rsidRPr="00A82B82">
        <w:rPr>
          <w:rFonts w:cstheme="minorHAnsi"/>
          <w:b/>
          <w:bCs/>
          <w:sz w:val="28"/>
          <w:szCs w:val="28"/>
        </w:rPr>
        <w:lastRenderedPageBreak/>
        <w:t>SOBRE LAS UNIVERSIDADES ANFITRIONAS</w:t>
      </w:r>
    </w:p>
    <w:p w14:paraId="2C7BC0D4" w14:textId="6D7CF536" w:rsidR="006A70AC" w:rsidRDefault="006A70AC" w:rsidP="006A70AC">
      <w:pPr>
        <w:jc w:val="both"/>
      </w:pPr>
      <w:r w:rsidRPr="006A70AC">
        <w:rPr>
          <w:rFonts w:cstheme="minorHAnsi"/>
          <w:b/>
          <w:bCs/>
          <w:noProof/>
          <w:lang w:val="es-CL" w:eastAsia="es-CL"/>
        </w:rPr>
        <w:drawing>
          <wp:inline distT="0" distB="0" distL="0" distR="0" wp14:anchorId="00171DA9" wp14:editId="11D98EF9">
            <wp:extent cx="601980" cy="601980"/>
            <wp:effectExtent l="0" t="0" r="7620" b="7620"/>
            <wp:docPr id="772336387" name="Imagem 7" descr="Universidad Portucalense UPT | Pue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iversidade Portucalense UPT | Por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sidRPr="006A70AC">
        <w:rPr>
          <w:rFonts w:cstheme="minorHAnsi"/>
          <w:b/>
          <w:bCs/>
        </w:rPr>
        <w:t>Universidad Portucalense</w:t>
      </w:r>
      <w:r w:rsidR="00806691">
        <w:rPr>
          <w:rFonts w:cstheme="minorHAnsi"/>
          <w:b/>
          <w:bCs/>
        </w:rPr>
        <w:t xml:space="preserve">  </w:t>
      </w:r>
      <w:hyperlink r:id="rId20" w:history="1">
        <w:r w:rsidR="00806691" w:rsidRPr="00FC336E">
          <w:rPr>
            <w:rStyle w:val="Hipervnculo"/>
            <w:rFonts w:cstheme="minorHAnsi"/>
            <w:b/>
            <w:bCs/>
          </w:rPr>
          <w:t>https://www.upt.pt/</w:t>
        </w:r>
      </w:hyperlink>
    </w:p>
    <w:p w14:paraId="18949D06" w14:textId="77777777" w:rsidR="00F1062B" w:rsidRPr="00F1062B" w:rsidRDefault="00F1062B" w:rsidP="00F1062B">
      <w:pPr>
        <w:jc w:val="both"/>
        <w:rPr>
          <w:rFonts w:cstheme="minorHAnsi"/>
          <w:lang w:val="pt-PT"/>
        </w:rPr>
      </w:pPr>
      <w:r w:rsidRPr="00F1062B">
        <w:rPr>
          <w:rFonts w:cstheme="minorHAnsi"/>
          <w:lang w:val="pt-PT"/>
        </w:rPr>
        <w:t>La Universidad Portucalense Infante D. Henrique (UPT) es una institución cooperativa de educación superior y de investigación científica que este año celebra su 40.º aniversario.</w:t>
      </w:r>
    </w:p>
    <w:p w14:paraId="1DF9FAF6" w14:textId="5475F530" w:rsidR="00F1062B" w:rsidRPr="00F1062B" w:rsidRDefault="00F1062B" w:rsidP="00F1062B">
      <w:pPr>
        <w:jc w:val="both"/>
        <w:rPr>
          <w:rFonts w:cstheme="minorHAnsi"/>
          <w:lang w:val="pt-PT"/>
        </w:rPr>
      </w:pPr>
      <w:r w:rsidRPr="00F1062B">
        <w:rPr>
          <w:rFonts w:cstheme="minorHAnsi"/>
          <w:lang w:val="pt-PT"/>
        </w:rPr>
        <w:t>La Universidad ofrece una amplia variedad de titulaciones oficialmente reconocidas y cuenta con un cuerpo docente propio, altamente cualificado, distribuido en seis departamentos: Arquitectura y Multimedia Gallaecia, Derecho, Psicología y Educación, Economía y Gestión, Ciencia y Tecnología, y Turismo, Patrimonio y Cultura.</w:t>
      </w:r>
      <w:r w:rsidR="00A82B82">
        <w:rPr>
          <w:rFonts w:cstheme="minorHAnsi"/>
          <w:lang w:val="pt-PT"/>
        </w:rPr>
        <w:t xml:space="preserve"> </w:t>
      </w:r>
      <w:r w:rsidRPr="00F1062B">
        <w:rPr>
          <w:rFonts w:cstheme="minorHAnsi"/>
          <w:lang w:val="pt-PT"/>
        </w:rPr>
        <w:t>La UPT aspira a consolidarse como un referente de la educación superior mediante una oferta académica interdisciplinaria e innovadora, aprovechando las sinergias entre sus diferentes departamentos. En una Europa comprometida con el aprendizaje a lo largo de la vida, la Universidad se concibe como una institución abierta a todas las generaciones, contribuyendo a que Portugal se afiance como una economía basada en el conocimiento, competitiva, dinámica, generadora de empleo de calidad y promotora de la cohesión social.</w:t>
      </w:r>
    </w:p>
    <w:p w14:paraId="1A1D6DA3" w14:textId="77777777" w:rsidR="00F1062B" w:rsidRPr="00F1062B" w:rsidRDefault="00F1062B" w:rsidP="00F1062B">
      <w:pPr>
        <w:jc w:val="both"/>
        <w:rPr>
          <w:rFonts w:cstheme="minorHAnsi"/>
          <w:lang w:val="pt-PT"/>
        </w:rPr>
      </w:pPr>
      <w:r w:rsidRPr="00F1062B">
        <w:rPr>
          <w:rFonts w:cstheme="minorHAnsi"/>
          <w:lang w:val="pt-PT"/>
        </w:rPr>
        <w:t>La UPT dispone de un moderno campus situado en el polo universitario de Asprela, reconocido por su elevado nivel de innovación tecnológica, concebido para ofrecer a sus estudiantes un entorno de aprendizaje de excelencia. Sus laboratorios informáticos, accesibles las 24 horas del día, junto con una red inalámbrica disponible en todo el campus, facilitan el acceso a la información, favorecen el desarrollo personal y científico del alumnado y promueven un modelo educativo centrado en el estudiante como protagonista de la construcción del conocimiento y del desarrollo de competencias. El campus cuenta, además de la Biblioteca, con diversos espacios destinados al estudio, la reflexión y la convivencia, entre ellos una librería, foros, cafetería, bares, terrazas interiores y exteriores, así como amplias zonas de aparcamiento.</w:t>
      </w:r>
    </w:p>
    <w:p w14:paraId="22DAD394" w14:textId="5E199357" w:rsidR="006A70AC" w:rsidRDefault="006A70AC" w:rsidP="006A70AC">
      <w:pPr>
        <w:jc w:val="both"/>
        <w:rPr>
          <w:rFonts w:cstheme="minorHAnsi"/>
          <w:b/>
          <w:bCs/>
        </w:rPr>
      </w:pPr>
      <w:r w:rsidRPr="006A70AC">
        <w:rPr>
          <w:rFonts w:cstheme="minorHAnsi"/>
          <w:b/>
          <w:bCs/>
          <w:noProof/>
          <w:lang w:val="es-CL" w:eastAsia="es-CL"/>
        </w:rPr>
        <w:drawing>
          <wp:inline distT="0" distB="0" distL="0" distR="0" wp14:anchorId="624EB13C" wp14:editId="7FF23CEE">
            <wp:extent cx="539305" cy="662940"/>
            <wp:effectExtent l="0" t="0" r="0" b="3810"/>
            <wp:docPr id="271012745" name="Imagem 8" descr="Participar en la Feria de Empleo UMaia e IPMaia | Talent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rticipa na Feira de Emprego da UMaia &amp; IPMaia | Talent Portuga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836" cy="669739"/>
                    </a:xfrm>
                    <a:prstGeom prst="rect">
                      <a:avLst/>
                    </a:prstGeom>
                    <a:noFill/>
                    <a:ln>
                      <a:noFill/>
                    </a:ln>
                  </pic:spPr>
                </pic:pic>
              </a:graphicData>
            </a:graphic>
          </wp:inline>
        </w:drawing>
      </w:r>
      <w:r w:rsidRPr="006A70AC">
        <w:rPr>
          <w:rFonts w:cstheme="minorHAnsi"/>
          <w:b/>
          <w:bCs/>
        </w:rPr>
        <w:t>Universidad d</w:t>
      </w:r>
      <w:r w:rsidR="00F1062B">
        <w:rPr>
          <w:rFonts w:cstheme="minorHAnsi"/>
          <w:b/>
          <w:bCs/>
        </w:rPr>
        <w:t>e</w:t>
      </w:r>
      <w:r w:rsidRPr="006A70AC">
        <w:rPr>
          <w:rFonts w:cstheme="minorHAnsi"/>
          <w:b/>
          <w:bCs/>
        </w:rPr>
        <w:t xml:space="preserve"> Maia (UMAIA)</w:t>
      </w:r>
      <w:r w:rsidR="00806691">
        <w:rPr>
          <w:rFonts w:cstheme="minorHAnsi"/>
          <w:b/>
          <w:bCs/>
        </w:rPr>
        <w:t xml:space="preserve"> </w:t>
      </w:r>
      <w:hyperlink r:id="rId22" w:history="1">
        <w:r w:rsidR="00806691" w:rsidRPr="00FC336E">
          <w:rPr>
            <w:rStyle w:val="Hipervnculo"/>
            <w:rFonts w:cstheme="minorHAnsi"/>
            <w:b/>
            <w:bCs/>
          </w:rPr>
          <w:t>https://www.umaia.pt/pt</w:t>
        </w:r>
      </w:hyperlink>
    </w:p>
    <w:p w14:paraId="5644A23D" w14:textId="77777777" w:rsidR="00F1062B" w:rsidRPr="00F1062B" w:rsidRDefault="00F1062B" w:rsidP="00F1062B">
      <w:pPr>
        <w:jc w:val="both"/>
        <w:rPr>
          <w:rFonts w:cstheme="minorHAnsi"/>
          <w:lang w:val="pt-PT"/>
        </w:rPr>
      </w:pPr>
      <w:r w:rsidRPr="00004424">
        <w:rPr>
          <w:rFonts w:cstheme="minorHAnsi"/>
          <w:lang w:val="es-CL"/>
        </w:rPr>
        <w:t xml:space="preserve">La </w:t>
      </w:r>
      <w:r w:rsidRPr="00004424">
        <w:rPr>
          <w:rFonts w:cstheme="minorHAnsi"/>
          <w:b/>
          <w:bCs/>
          <w:lang w:val="es-CL"/>
        </w:rPr>
        <w:t>Universidad de Maia (UMAIA)</w:t>
      </w:r>
      <w:r w:rsidRPr="00004424">
        <w:rPr>
          <w:rFonts w:cstheme="minorHAnsi"/>
          <w:lang w:val="es-CL"/>
        </w:rPr>
        <w:t xml:space="preserve"> se consolida como un proyecto de educación superior singular y plenamente consolidado, distinguiéndose por la combinación de experiencia académica, innovación pedagógica, investigación científica y una estrecha vinculación con el tejido económico y social. </w:t>
      </w:r>
      <w:r w:rsidRPr="00F1062B">
        <w:rPr>
          <w:rFonts w:cstheme="minorHAnsi"/>
          <w:lang w:val="pt-PT"/>
        </w:rPr>
        <w:t>Como la universidad más joven de Portugal y la mayor universidad privada de la Región Norte, desempeña un papel relevante en la formación de profesionales altamente cualificados, la generación de conocimiento y la promoción del desarrollo sostenible.</w:t>
      </w:r>
    </w:p>
    <w:p w14:paraId="2210D082" w14:textId="77777777" w:rsidR="00F1062B" w:rsidRPr="00F1062B" w:rsidRDefault="00F1062B" w:rsidP="00F1062B">
      <w:pPr>
        <w:jc w:val="both"/>
        <w:rPr>
          <w:rFonts w:cstheme="minorHAnsi"/>
          <w:lang w:val="pt-PT"/>
        </w:rPr>
      </w:pPr>
      <w:r w:rsidRPr="00F1062B">
        <w:rPr>
          <w:rFonts w:cstheme="minorHAnsi"/>
          <w:lang w:val="pt-PT"/>
        </w:rPr>
        <w:t>Con una oferta académica diversificada y multidisciplinaria, la UMAIA promueve una formación de excelencia, sustentada en la investigación, la innovación y la estrecha relación con la comunidad. Sus modernas infraestructuras y su creciente proyección internacional proporcionan un entorno académico dinámico, propicio para la cooperación científica, la movilidad y el intercambio de conocimiento.</w:t>
      </w:r>
    </w:p>
    <w:p w14:paraId="7A1BD69A" w14:textId="77777777" w:rsidR="00F1062B" w:rsidRPr="00004424" w:rsidRDefault="00F1062B" w:rsidP="00F1062B">
      <w:pPr>
        <w:jc w:val="both"/>
        <w:rPr>
          <w:rFonts w:cstheme="minorHAnsi"/>
          <w:lang w:val="es-CL"/>
        </w:rPr>
      </w:pPr>
      <w:r w:rsidRPr="00004424">
        <w:rPr>
          <w:rFonts w:cstheme="minorHAnsi"/>
          <w:lang w:val="es-CL"/>
        </w:rPr>
        <w:t>Comprometida con la excelencia, la internacionalización y la responsabilidad social, la Universidad de Maia contribuye activamente a la construcción de una sociedad más inclusiva, innovadora y preparada para responder a los desafíos globales del presente y del futuro.</w:t>
      </w:r>
    </w:p>
    <w:p w14:paraId="3871E519" w14:textId="28DC16E3" w:rsidR="007B4178" w:rsidRPr="006A70AC" w:rsidRDefault="007B4178" w:rsidP="006A70AC">
      <w:pPr>
        <w:jc w:val="center"/>
        <w:rPr>
          <w:b/>
          <w:bCs/>
          <w:sz w:val="28"/>
          <w:szCs w:val="28"/>
          <w:lang w:val="pt-PT"/>
        </w:rPr>
      </w:pPr>
      <w:r w:rsidRPr="006A70AC">
        <w:rPr>
          <w:b/>
          <w:bCs/>
          <w:sz w:val="28"/>
          <w:szCs w:val="28"/>
        </w:rPr>
        <w:lastRenderedPageBreak/>
        <w:t>CIDADES ANFITRI</w:t>
      </w:r>
      <w:r w:rsidR="00F62CE4">
        <w:rPr>
          <w:b/>
          <w:bCs/>
          <w:sz w:val="28"/>
          <w:szCs w:val="28"/>
        </w:rPr>
        <w:t>ÃS</w:t>
      </w:r>
    </w:p>
    <w:p w14:paraId="632A1D2F" w14:textId="77777777" w:rsidR="00F1062B" w:rsidRPr="00F1062B" w:rsidRDefault="007B4178" w:rsidP="00F1062B">
      <w:pPr>
        <w:jc w:val="both"/>
        <w:rPr>
          <w:lang w:val="pt-PT"/>
        </w:rPr>
      </w:pPr>
      <w:r w:rsidRPr="007B4178">
        <w:rPr>
          <w:b/>
          <w:bCs/>
          <w:noProof/>
          <w:lang w:val="es-CL" w:eastAsia="es-CL"/>
        </w:rPr>
        <w:drawing>
          <wp:inline distT="0" distB="0" distL="0" distR="0" wp14:anchorId="7CC425B6" wp14:editId="18CE02CA">
            <wp:extent cx="563880" cy="563880"/>
            <wp:effectExtent l="0" t="0" r="7620" b="7620"/>
            <wp:docPr id="55001943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r w:rsidR="00F62CE4">
        <w:rPr>
          <w:b/>
          <w:bCs/>
        </w:rPr>
        <w:t>P</w:t>
      </w:r>
      <w:r w:rsidR="00CE349C">
        <w:rPr>
          <w:b/>
          <w:bCs/>
        </w:rPr>
        <w:t>orto</w:t>
      </w:r>
      <w:r w:rsidRPr="007B4178">
        <w:rPr>
          <w:b/>
          <w:bCs/>
        </w:rPr>
        <w:t xml:space="preserve"> </w:t>
      </w:r>
      <w:r w:rsidR="006A70AC">
        <w:rPr>
          <w:b/>
          <w:bCs/>
        </w:rPr>
        <w:t xml:space="preserve">     </w:t>
      </w:r>
      <w:r w:rsidR="00F1062B" w:rsidRPr="00F1062B">
        <w:rPr>
          <w:lang w:val="pt-PT"/>
        </w:rPr>
        <w:t>Situada en la desembocadura del río Duero y abierta al océano Atlántico, la ciudad de Porto es uno de los principales centros históricos, culturales, científicos y económicos de Portugal. Su centro histórico, declarado Patrimonio Mundial por la UNESCO, combina una sólida identidad histórico-cultural con un marcado dinamismo contemporáneo, caracterizado por la innovación, el emprendimiento y la internacionalización.</w:t>
      </w:r>
    </w:p>
    <w:p w14:paraId="61AE85F7" w14:textId="77777777" w:rsidR="00F1062B" w:rsidRPr="00F1062B" w:rsidRDefault="00F1062B" w:rsidP="00F1062B">
      <w:pPr>
        <w:jc w:val="both"/>
        <w:rPr>
          <w:lang w:val="pt-PT"/>
        </w:rPr>
      </w:pPr>
      <w:r w:rsidRPr="00004424">
        <w:rPr>
          <w:lang w:val="es-CL"/>
        </w:rPr>
        <w:t xml:space="preserve">Porto alberga uno de los ecosistemas de educación superior e investigación más importantes de la península ibérica, integrado por universidades, centros de investigación, incubadoras de empresas e instituciones científicas de referencia. </w:t>
      </w:r>
      <w:r w:rsidRPr="00F1062B">
        <w:rPr>
          <w:lang w:val="pt-PT"/>
        </w:rPr>
        <w:t>La ciudad ocupa asimismo una posición estratégica en las relaciones entre Europa, el Atlántico y el espacio iberoamericano, constituyendo un enclave privilegiado para el diálogo académico internacional.</w:t>
      </w:r>
    </w:p>
    <w:p w14:paraId="16EAC251" w14:textId="46C78F43" w:rsidR="00F1062B" w:rsidRPr="00F1062B" w:rsidRDefault="007B4178" w:rsidP="00F1062B">
      <w:pPr>
        <w:jc w:val="both"/>
        <w:rPr>
          <w:lang w:val="pt-PT"/>
        </w:rPr>
      </w:pPr>
      <w:r w:rsidRPr="007B4178">
        <w:rPr>
          <w:b/>
          <w:bCs/>
          <w:noProof/>
          <w:lang w:val="es-CL" w:eastAsia="es-CL"/>
        </w:rPr>
        <w:drawing>
          <wp:inline distT="0" distB="0" distL="0" distR="0" wp14:anchorId="5D3F403F" wp14:editId="0080FF07">
            <wp:extent cx="556260" cy="556260"/>
            <wp:effectExtent l="0" t="0" r="0" b="0"/>
            <wp:docPr id="150672108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rsidR="00F62CE4" w:rsidRPr="00F62CE4">
        <w:rPr>
          <w:rFonts w:ascii="Times New Roman" w:eastAsia="Times New Roman" w:hAnsi="Times New Roman" w:cs="Times New Roman"/>
          <w:b/>
          <w:bCs/>
          <w:sz w:val="24"/>
          <w:szCs w:val="24"/>
          <w:lang w:val="pt-PT" w:eastAsia="pt-PT"/>
        </w:rPr>
        <w:t xml:space="preserve"> </w:t>
      </w:r>
      <w:r w:rsidR="00F62CE4" w:rsidRPr="00F62CE4">
        <w:rPr>
          <w:b/>
          <w:bCs/>
          <w:lang w:val="pt-PT"/>
        </w:rPr>
        <w:t>Maia</w:t>
      </w:r>
      <w:r w:rsidR="00F62CE4">
        <w:rPr>
          <w:b/>
          <w:bCs/>
          <w:lang w:val="pt-PT"/>
        </w:rPr>
        <w:t xml:space="preserve">      </w:t>
      </w:r>
      <w:r w:rsidR="00F1062B" w:rsidRPr="00F1062B">
        <w:rPr>
          <w:lang w:val="pt-PT"/>
        </w:rPr>
        <w:t>Integrada en el Área Metropolitana de Porto, la ciudad de Maia destaca por su dinamismo económico, su capacidad de innovación y su firme compromiso con el conocimiento, la tecnología y la cualificación del capital humano. Gracias a su ubicación estratégica y a sus excelentes infraestructuras de comunicación, Maia alberga importantes empresas, centros tecnológicos e instituciones de educación superior.</w:t>
      </w:r>
    </w:p>
    <w:p w14:paraId="472D5BC4" w14:textId="77777777" w:rsidR="00F1062B" w:rsidRDefault="00F1062B" w:rsidP="00F1062B">
      <w:pPr>
        <w:jc w:val="both"/>
        <w:rPr>
          <w:lang w:val="pt-PT"/>
        </w:rPr>
      </w:pPr>
      <w:r w:rsidRPr="00F1062B">
        <w:rPr>
          <w:lang w:val="pt-PT"/>
        </w:rPr>
        <w:t>La ciudad se ha consolidado como un referente en materia de desarrollo sostenible y cooperación internacional, combinando crecimiento económico, calidad de vida e inversión en educación, ciencia e innovación. La celebración de la VII Cumbre Académica Unión Europea–América Latina y el Caribe en la Universidad de Maia refuerza el papel de la ciudad como punto de encuentro para el conocimiento, la cooperación y el desarrollo.</w:t>
      </w:r>
    </w:p>
    <w:p w14:paraId="50D7E511" w14:textId="77777777" w:rsidR="00F1062B" w:rsidRPr="00F1062B" w:rsidRDefault="00F1062B" w:rsidP="00F1062B">
      <w:pPr>
        <w:jc w:val="both"/>
        <w:rPr>
          <w:lang w:val="pt-PT"/>
        </w:rPr>
      </w:pPr>
    </w:p>
    <w:p w14:paraId="136C3661" w14:textId="77777777" w:rsidR="00A35509" w:rsidRDefault="00A35509" w:rsidP="007B4178">
      <w:pPr>
        <w:rPr>
          <w:lang w:val="pt-PT"/>
        </w:rPr>
      </w:pPr>
    </w:p>
    <w:p w14:paraId="09F3650C" w14:textId="77777777" w:rsidR="00B00B64" w:rsidRDefault="00B00B64" w:rsidP="00D537E4">
      <w:pPr>
        <w:pStyle w:val="Prrafodelista"/>
        <w:ind w:left="360"/>
        <w:jc w:val="center"/>
      </w:pPr>
      <w:r>
        <w:rPr>
          <w:noProof/>
          <w:lang w:val="es-CL" w:eastAsia="es-CL"/>
        </w:rPr>
        <w:drawing>
          <wp:inline distT="0" distB="0" distL="0" distR="0" wp14:anchorId="2A9ABDD9" wp14:editId="7401C31A">
            <wp:extent cx="1695450" cy="544881"/>
            <wp:effectExtent l="0" t="0" r="0" b="7620"/>
            <wp:docPr id="14937901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912" cy="551136"/>
                    </a:xfrm>
                    <a:prstGeom prst="rect">
                      <a:avLst/>
                    </a:prstGeom>
                    <a:noFill/>
                    <a:ln>
                      <a:noFill/>
                    </a:ln>
                  </pic:spPr>
                </pic:pic>
              </a:graphicData>
            </a:graphic>
          </wp:inline>
        </w:drawing>
      </w:r>
    </w:p>
    <w:p w14:paraId="728B188B" w14:textId="77777777" w:rsidR="00F1062B" w:rsidRDefault="00F1062B" w:rsidP="00D537E4">
      <w:pPr>
        <w:pStyle w:val="Prrafodelista"/>
        <w:ind w:left="360"/>
        <w:jc w:val="center"/>
      </w:pPr>
    </w:p>
    <w:p w14:paraId="0ADBF675" w14:textId="0A33704F" w:rsidR="00D537E4" w:rsidRPr="00D537E4" w:rsidRDefault="006E1A06" w:rsidP="00D537E4">
      <w:pPr>
        <w:pStyle w:val="Prrafodelista"/>
        <w:ind w:left="360"/>
        <w:jc w:val="center"/>
        <w:rPr>
          <w:lang w:val="pt-PT" w:eastAsia="pt-PT"/>
        </w:rPr>
      </w:pPr>
      <w:r>
        <w:rPr>
          <w:noProof/>
          <w:lang w:val="es-CL" w:eastAsia="es-CL"/>
        </w:rPr>
        <w:drawing>
          <wp:inline distT="0" distB="0" distL="0" distR="0" wp14:anchorId="065F296D" wp14:editId="0BC4E828">
            <wp:extent cx="946727" cy="298097"/>
            <wp:effectExtent l="0" t="0" r="635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3608" cy="341197"/>
                    </a:xfrm>
                    <a:prstGeom prst="rect">
                      <a:avLst/>
                    </a:prstGeom>
                    <a:noFill/>
                    <a:ln>
                      <a:noFill/>
                    </a:ln>
                  </pic:spPr>
                </pic:pic>
              </a:graphicData>
            </a:graphic>
          </wp:inline>
        </w:drawing>
      </w:r>
      <w:r>
        <w:t xml:space="preserve"> </w:t>
      </w:r>
      <w:r>
        <w:rPr>
          <w:noProof/>
          <w:lang w:val="es-CL" w:eastAsia="es-CL"/>
        </w:rPr>
        <w:drawing>
          <wp:inline distT="0" distB="0" distL="0" distR="0" wp14:anchorId="1C0B0ACB" wp14:editId="6EA9D36D">
            <wp:extent cx="310444" cy="36585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1501" cy="390668"/>
                    </a:xfrm>
                    <a:prstGeom prst="rect">
                      <a:avLst/>
                    </a:prstGeom>
                    <a:noFill/>
                    <a:ln>
                      <a:noFill/>
                    </a:ln>
                  </pic:spPr>
                </pic:pic>
              </a:graphicData>
            </a:graphic>
          </wp:inline>
        </w:drawing>
      </w:r>
      <w:r>
        <w:t xml:space="preserve">  </w:t>
      </w:r>
      <w:r w:rsidRPr="00033429">
        <w:rPr>
          <w:noProof/>
          <w:lang w:val="es-CL" w:eastAsia="es-CL"/>
        </w:rPr>
        <w:drawing>
          <wp:inline distT="0" distB="0" distL="0" distR="0" wp14:anchorId="0420F9F5" wp14:editId="0021DB23">
            <wp:extent cx="568734" cy="284368"/>
            <wp:effectExtent l="0" t="0" r="3175"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6872" cy="298437"/>
                    </a:xfrm>
                    <a:prstGeom prst="rect">
                      <a:avLst/>
                    </a:prstGeom>
                  </pic:spPr>
                </pic:pic>
              </a:graphicData>
            </a:graphic>
          </wp:inline>
        </w:drawing>
      </w:r>
      <w:r>
        <w:t xml:space="preserve"> </w:t>
      </w:r>
      <w:r>
        <w:rPr>
          <w:noProof/>
          <w:lang w:val="es-CL" w:eastAsia="es-CL"/>
        </w:rPr>
        <w:drawing>
          <wp:inline distT="0" distB="0" distL="0" distR="0" wp14:anchorId="2DE08ADC" wp14:editId="49343C7F">
            <wp:extent cx="402594" cy="367553"/>
            <wp:effectExtent l="0" t="0" r="0" b="0"/>
            <wp:docPr id="12" name="Imagen 12" descr="Centro Latinoamericano para las Relaciones con la UE (@CELAREALCU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ntro Latinoamericano para las Relaciones con UE (@CELAREALCUE) / Twitt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907" cy="389750"/>
                    </a:xfrm>
                    <a:prstGeom prst="rect">
                      <a:avLst/>
                    </a:prstGeom>
                    <a:noFill/>
                    <a:ln>
                      <a:noFill/>
                    </a:ln>
                  </pic:spPr>
                </pic:pic>
              </a:graphicData>
            </a:graphic>
          </wp:inline>
        </w:drawing>
      </w:r>
      <w:r>
        <w:t xml:space="preserve">   </w:t>
      </w:r>
      <w:r>
        <w:rPr>
          <w:noProof/>
          <w:lang w:val="es-CL" w:eastAsia="es-CL"/>
        </w:rPr>
        <w:drawing>
          <wp:inline distT="0" distB="0" distL="0" distR="0" wp14:anchorId="048593A2" wp14:editId="137D5AE3">
            <wp:extent cx="372035" cy="37203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164" cy="395164"/>
                    </a:xfrm>
                    <a:prstGeom prst="rect">
                      <a:avLst/>
                    </a:prstGeom>
                    <a:noFill/>
                    <a:ln>
                      <a:noFill/>
                    </a:ln>
                  </pic:spPr>
                </pic:pic>
              </a:graphicData>
            </a:graphic>
          </wp:inline>
        </w:drawing>
      </w:r>
      <w:r>
        <w:t xml:space="preserve">   </w:t>
      </w:r>
      <w:r>
        <w:rPr>
          <w:noProof/>
          <w:lang w:val="es-CL" w:eastAsia="es-CL"/>
        </w:rPr>
        <w:drawing>
          <wp:inline distT="0" distB="0" distL="0" distR="0" wp14:anchorId="4B14704F" wp14:editId="6A25693A">
            <wp:extent cx="1128889" cy="340995"/>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3395" cy="366521"/>
                    </a:xfrm>
                    <a:prstGeom prst="rect">
                      <a:avLst/>
                    </a:prstGeom>
                    <a:noFill/>
                    <a:ln>
                      <a:noFill/>
                    </a:ln>
                  </pic:spPr>
                </pic:pic>
              </a:graphicData>
            </a:graphic>
          </wp:inline>
        </w:drawing>
      </w:r>
      <w:r>
        <w:t xml:space="preserve"> </w:t>
      </w:r>
      <w:r>
        <w:rPr>
          <w:noProof/>
          <w:lang w:val="es-CL" w:eastAsia="es-CL"/>
        </w:rPr>
        <w:drawing>
          <wp:inline distT="0" distB="0" distL="0" distR="0" wp14:anchorId="3842D0CE" wp14:editId="7651368A">
            <wp:extent cx="657860" cy="40062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5153" cy="417243"/>
                    </a:xfrm>
                    <a:prstGeom prst="rect">
                      <a:avLst/>
                    </a:prstGeom>
                    <a:noFill/>
                    <a:ln>
                      <a:noFill/>
                    </a:ln>
                  </pic:spPr>
                </pic:pic>
              </a:graphicData>
            </a:graphic>
          </wp:inline>
        </w:drawing>
      </w:r>
      <w:r>
        <w:t xml:space="preserve">    </w:t>
      </w:r>
      <w:r>
        <w:rPr>
          <w:noProof/>
          <w:lang w:val="es-CL" w:eastAsia="es-CL"/>
        </w:rPr>
        <w:drawing>
          <wp:inline distT="0" distB="0" distL="0" distR="0" wp14:anchorId="24A645D1" wp14:editId="19D13C2B">
            <wp:extent cx="1048605" cy="24653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0461" cy="270477"/>
                    </a:xfrm>
                    <a:prstGeom prst="rect">
                      <a:avLst/>
                    </a:prstGeom>
                    <a:noFill/>
                    <a:ln>
                      <a:noFill/>
                    </a:ln>
                  </pic:spPr>
                </pic:pic>
              </a:graphicData>
            </a:graphic>
          </wp:inline>
        </w:drawing>
      </w:r>
      <w:r>
        <w:rPr>
          <w:noProof/>
          <w:lang w:val="es-CL" w:eastAsia="es-CL"/>
        </w:rPr>
        <w:drawing>
          <wp:inline distT="0" distB="0" distL="0" distR="0" wp14:anchorId="0AFDFDEA" wp14:editId="4D02A7A4">
            <wp:extent cx="667870" cy="418087"/>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1525" cy="426635"/>
                    </a:xfrm>
                    <a:prstGeom prst="rect">
                      <a:avLst/>
                    </a:prstGeom>
                    <a:noFill/>
                    <a:ln>
                      <a:noFill/>
                    </a:ln>
                  </pic:spPr>
                </pic:pic>
              </a:graphicData>
            </a:graphic>
          </wp:inline>
        </w:drawing>
      </w:r>
      <w:r>
        <w:rPr>
          <w:noProof/>
          <w:lang w:val="es-CL" w:eastAsia="es-CL"/>
        </w:rPr>
        <w:drawing>
          <wp:inline distT="0" distB="0" distL="0" distR="0" wp14:anchorId="79E609CE" wp14:editId="09130BC4">
            <wp:extent cx="712694" cy="36154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8288" cy="384674"/>
                    </a:xfrm>
                    <a:prstGeom prst="rect">
                      <a:avLst/>
                    </a:prstGeom>
                    <a:noFill/>
                    <a:ln>
                      <a:noFill/>
                    </a:ln>
                  </pic:spPr>
                </pic:pic>
              </a:graphicData>
            </a:graphic>
          </wp:inline>
        </w:drawing>
      </w:r>
      <w:r>
        <w:rPr>
          <w:noProof/>
          <w:lang w:val="es-CL" w:eastAsia="es-CL"/>
        </w:rPr>
        <w:drawing>
          <wp:inline distT="0" distB="0" distL="0" distR="0" wp14:anchorId="3AB70F48" wp14:editId="1BD21606">
            <wp:extent cx="537883" cy="42427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646" cy="469048"/>
                    </a:xfrm>
                    <a:prstGeom prst="rect">
                      <a:avLst/>
                    </a:prstGeom>
                    <a:noFill/>
                    <a:ln>
                      <a:noFill/>
                    </a:ln>
                  </pic:spPr>
                </pic:pic>
              </a:graphicData>
            </a:graphic>
          </wp:inline>
        </w:drawing>
      </w:r>
      <w:r w:rsidRPr="003453AB">
        <w:rPr>
          <w:noProof/>
          <w:sz w:val="20"/>
          <w:szCs w:val="20"/>
          <w:lang w:val="es-CL" w:eastAsia="es-CL"/>
        </w:rPr>
        <w:drawing>
          <wp:inline distT="0" distB="0" distL="0" distR="0" wp14:anchorId="65A3A7FD" wp14:editId="52707D82">
            <wp:extent cx="756356" cy="278765"/>
            <wp:effectExtent l="0" t="0" r="0"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94487" cy="292819"/>
                    </a:xfrm>
                    <a:prstGeom prst="rect">
                      <a:avLst/>
                    </a:prstGeom>
                    <a:noFill/>
                    <a:ln>
                      <a:noFill/>
                    </a:ln>
                  </pic:spPr>
                </pic:pic>
              </a:graphicData>
            </a:graphic>
          </wp:inline>
        </w:drawing>
      </w:r>
      <w:r>
        <w:rPr>
          <w:noProof/>
          <w:lang w:val="es-CL" w:eastAsia="es-CL"/>
        </w:rPr>
        <w:drawing>
          <wp:inline distT="0" distB="0" distL="0" distR="0" wp14:anchorId="408BD3F2" wp14:editId="4F4EBE15">
            <wp:extent cx="895462" cy="451556"/>
            <wp:effectExtent l="0" t="0" r="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4633" cy="466266"/>
                    </a:xfrm>
                    <a:prstGeom prst="rect">
                      <a:avLst/>
                    </a:prstGeom>
                    <a:noFill/>
                  </pic:spPr>
                </pic:pic>
              </a:graphicData>
            </a:graphic>
          </wp:inline>
        </w:drawing>
      </w:r>
      <w:r>
        <w:t xml:space="preserve">  </w:t>
      </w:r>
      <w:r w:rsidRPr="003453AB">
        <w:rPr>
          <w:noProof/>
          <w:sz w:val="20"/>
          <w:szCs w:val="20"/>
          <w:lang w:val="es-CL" w:eastAsia="es-CL"/>
        </w:rPr>
        <w:drawing>
          <wp:inline distT="0" distB="0" distL="0" distR="0" wp14:anchorId="1ADF1D4C" wp14:editId="7585B335">
            <wp:extent cx="398929" cy="398929"/>
            <wp:effectExtent l="0" t="0" r="127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4461" cy="414461"/>
                    </a:xfrm>
                    <a:prstGeom prst="rect">
                      <a:avLst/>
                    </a:prstGeom>
                    <a:noFill/>
                    <a:ln>
                      <a:noFill/>
                    </a:ln>
                  </pic:spPr>
                </pic:pic>
              </a:graphicData>
            </a:graphic>
          </wp:inline>
        </w:drawing>
      </w:r>
      <w:r w:rsidR="00D537E4" w:rsidRPr="00D537E4">
        <w:rPr>
          <w:rFonts w:ascii="Times New Roman" w:eastAsia="Times New Roman" w:hAnsi="Times New Roman" w:cs="Times New Roman"/>
          <w:sz w:val="24"/>
          <w:szCs w:val="24"/>
          <w:lang w:val="pt-PT" w:eastAsia="pt-PT"/>
        </w:rPr>
        <w:t xml:space="preserve">  </w:t>
      </w:r>
      <w:r w:rsidR="00D537E4" w:rsidRPr="00D537E4">
        <w:rPr>
          <w:noProof/>
          <w:lang w:val="es-CL" w:eastAsia="es-CL"/>
        </w:rPr>
        <w:drawing>
          <wp:inline distT="0" distB="0" distL="0" distR="0" wp14:anchorId="395B9E7D" wp14:editId="4D88D179">
            <wp:extent cx="3076575" cy="318727"/>
            <wp:effectExtent l="0" t="0" r="0" b="5715"/>
            <wp:docPr id="122029213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0353" cy="325334"/>
                    </a:xfrm>
                    <a:prstGeom prst="rect">
                      <a:avLst/>
                    </a:prstGeom>
                    <a:noFill/>
                    <a:ln>
                      <a:noFill/>
                    </a:ln>
                  </pic:spPr>
                </pic:pic>
              </a:graphicData>
            </a:graphic>
          </wp:inline>
        </w:drawing>
      </w:r>
      <w:r w:rsidR="00A82B82">
        <w:rPr>
          <w:rFonts w:ascii="Times New Roman" w:eastAsia="Times New Roman" w:hAnsi="Times New Roman" w:cs="Times New Roman"/>
          <w:noProof/>
          <w:sz w:val="24"/>
          <w:szCs w:val="24"/>
          <w:lang w:val="es-CL" w:eastAsia="es-CL"/>
        </w:rPr>
        <w:drawing>
          <wp:inline distT="0" distB="0" distL="0" distR="0" wp14:anchorId="0DD01076" wp14:editId="5AB863D1">
            <wp:extent cx="807793" cy="320040"/>
            <wp:effectExtent l="0" t="0" r="0" b="3810"/>
            <wp:docPr id="146063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2071" cy="321735"/>
                    </a:xfrm>
                    <a:prstGeom prst="rect">
                      <a:avLst/>
                    </a:prstGeom>
                    <a:noFill/>
                  </pic:spPr>
                </pic:pic>
              </a:graphicData>
            </a:graphic>
          </wp:inline>
        </w:drawing>
      </w:r>
    </w:p>
    <w:p w14:paraId="74BC8A8C" w14:textId="74B6E7BC" w:rsidR="006E1A06" w:rsidRPr="00B86C88" w:rsidRDefault="00D537E4" w:rsidP="006E1A06">
      <w:pPr>
        <w:pStyle w:val="Prrafodelista"/>
        <w:ind w:left="360"/>
        <w:jc w:val="center"/>
        <w:rPr>
          <w:rStyle w:val="Textoennegrita"/>
          <w:b w:val="0"/>
          <w:bCs w:val="0"/>
        </w:rPr>
      </w:pPr>
      <w:r>
        <w:rPr>
          <w:noProof/>
          <w:lang w:val="es-CL" w:eastAsia="es-CL"/>
        </w:rPr>
        <w:drawing>
          <wp:inline distT="0" distB="0" distL="0" distR="0" wp14:anchorId="6CF4BABD" wp14:editId="6D1C6619">
            <wp:extent cx="374415" cy="360797"/>
            <wp:effectExtent l="0" t="0" r="6985" b="1270"/>
            <wp:docPr id="6101573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2874" cy="368948"/>
                    </a:xfrm>
                    <a:prstGeom prst="rect">
                      <a:avLst/>
                    </a:prstGeom>
                    <a:noFill/>
                  </pic:spPr>
                </pic:pic>
              </a:graphicData>
            </a:graphic>
          </wp:inline>
        </w:drawing>
      </w:r>
      <w:r w:rsidR="006E1A06" w:rsidRPr="003453AB">
        <w:rPr>
          <w:noProof/>
          <w:sz w:val="20"/>
          <w:szCs w:val="20"/>
          <w:lang w:val="es-CL" w:eastAsia="es-CL"/>
        </w:rPr>
        <w:drawing>
          <wp:inline distT="0" distB="0" distL="0" distR="0" wp14:anchorId="7DF8F952" wp14:editId="7D883313">
            <wp:extent cx="1053353" cy="34698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82799" cy="389628"/>
                    </a:xfrm>
                    <a:prstGeom prst="rect">
                      <a:avLst/>
                    </a:prstGeom>
                    <a:noFill/>
                    <a:ln>
                      <a:noFill/>
                    </a:ln>
                  </pic:spPr>
                </pic:pic>
              </a:graphicData>
            </a:graphic>
          </wp:inline>
        </w:drawing>
      </w:r>
      <w:r w:rsidR="006E1A06" w:rsidRPr="003453AB">
        <w:rPr>
          <w:sz w:val="20"/>
          <w:szCs w:val="20"/>
        </w:rPr>
        <w:t xml:space="preserve">  </w:t>
      </w:r>
      <w:r w:rsidR="006E1A06" w:rsidRPr="003453AB">
        <w:rPr>
          <w:noProof/>
          <w:sz w:val="20"/>
          <w:szCs w:val="20"/>
          <w:lang w:val="es-CL" w:eastAsia="es-CL"/>
        </w:rPr>
        <w:drawing>
          <wp:inline distT="0" distB="0" distL="0" distR="0" wp14:anchorId="326974F4" wp14:editId="12B88B1C">
            <wp:extent cx="944211" cy="39444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29844" cy="430220"/>
                    </a:xfrm>
                    <a:prstGeom prst="rect">
                      <a:avLst/>
                    </a:prstGeom>
                    <a:noFill/>
                    <a:ln>
                      <a:noFill/>
                    </a:ln>
                  </pic:spPr>
                </pic:pic>
              </a:graphicData>
            </a:graphic>
          </wp:inline>
        </w:drawing>
      </w:r>
      <w:r w:rsidR="006E1A06">
        <w:rPr>
          <w:noProof/>
          <w:sz w:val="20"/>
          <w:szCs w:val="20"/>
          <w:lang w:val="es-CL" w:eastAsia="es-CL"/>
        </w:rPr>
        <w:drawing>
          <wp:inline distT="0" distB="0" distL="0" distR="0" wp14:anchorId="4CBD7C2D" wp14:editId="1C519D5F">
            <wp:extent cx="1164590" cy="433070"/>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64590" cy="433070"/>
                    </a:xfrm>
                    <a:prstGeom prst="rect">
                      <a:avLst/>
                    </a:prstGeom>
                    <a:noFill/>
                  </pic:spPr>
                </pic:pic>
              </a:graphicData>
            </a:graphic>
          </wp:inline>
        </w:drawing>
      </w:r>
    </w:p>
    <w:p w14:paraId="001C20E3" w14:textId="0C53567F" w:rsidR="006E1A06" w:rsidRDefault="006E1A06" w:rsidP="006E1A06">
      <w:pPr>
        <w:pStyle w:val="NormalWeb"/>
        <w:shd w:val="clear" w:color="auto" w:fill="FFFFFF"/>
        <w:spacing w:before="0" w:beforeAutospacing="0" w:after="0" w:afterAutospacing="0"/>
        <w:ind w:left="708"/>
        <w:jc w:val="center"/>
        <w:textAlignment w:val="baseline"/>
        <w:rPr>
          <w:noProof/>
        </w:rPr>
      </w:pPr>
    </w:p>
    <w:sectPr w:rsidR="006E1A06" w:rsidSect="000C7FC7">
      <w:type w:val="continuous"/>
      <w:pgSz w:w="11906" w:h="16838"/>
      <w:pgMar w:top="1417" w:right="1701" w:bottom="1417" w:left="1701"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D0603" w14:textId="77777777" w:rsidR="00A169C6" w:rsidRDefault="00A169C6" w:rsidP="00113F42">
      <w:pPr>
        <w:spacing w:after="0" w:line="240" w:lineRule="auto"/>
      </w:pPr>
      <w:r>
        <w:separator/>
      </w:r>
    </w:p>
  </w:endnote>
  <w:endnote w:type="continuationSeparator" w:id="0">
    <w:p w14:paraId="63FB50B8" w14:textId="77777777" w:rsidR="00A169C6" w:rsidRDefault="00A169C6" w:rsidP="00113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F7FB" w14:textId="77777777" w:rsidR="00A169C6" w:rsidRDefault="00A169C6" w:rsidP="00113F42">
      <w:pPr>
        <w:spacing w:after="0" w:line="240" w:lineRule="auto"/>
      </w:pPr>
      <w:r>
        <w:separator/>
      </w:r>
    </w:p>
  </w:footnote>
  <w:footnote w:type="continuationSeparator" w:id="0">
    <w:p w14:paraId="69AB1EE4" w14:textId="77777777" w:rsidR="00A169C6" w:rsidRDefault="00A169C6" w:rsidP="00113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199C" w14:textId="49078E8C" w:rsidR="00113F42" w:rsidRPr="00113F42" w:rsidRDefault="00113F42" w:rsidP="00113F42">
    <w:pPr>
      <w:pStyle w:val="Encabezado"/>
      <w:jc w:val="center"/>
      <w:rPr>
        <w:b/>
        <w:bCs/>
      </w:rPr>
    </w:pPr>
    <w:r w:rsidRPr="00113F42">
      <w:rPr>
        <w:b/>
        <w:bCs/>
      </w:rPr>
      <w:t>FORO ACADÉMICO PERMANENTE LAC-UE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74D"/>
    <w:multiLevelType w:val="hybridMultilevel"/>
    <w:tmpl w:val="6B0AF36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04061647"/>
    <w:multiLevelType w:val="hybridMultilevel"/>
    <w:tmpl w:val="9A8C92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5C670A"/>
    <w:multiLevelType w:val="hybridMultilevel"/>
    <w:tmpl w:val="7DCA38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6D3CF3"/>
    <w:multiLevelType w:val="hybridMultilevel"/>
    <w:tmpl w:val="D6B0AE22"/>
    <w:lvl w:ilvl="0" w:tplc="0C0A0003">
      <w:start w:val="1"/>
      <w:numFmt w:val="bullet"/>
      <w:lvlText w:val="o"/>
      <w:lvlJc w:val="left"/>
      <w:pPr>
        <w:ind w:left="1789" w:hanging="360"/>
      </w:pPr>
      <w:rPr>
        <w:rFonts w:ascii="Courier New" w:hAnsi="Courier New" w:cs="Courier New"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4" w15:restartNumberingAfterBreak="0">
    <w:nsid w:val="15D4215D"/>
    <w:multiLevelType w:val="hybridMultilevel"/>
    <w:tmpl w:val="02F852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205501"/>
    <w:multiLevelType w:val="hybridMultilevel"/>
    <w:tmpl w:val="9800A85A"/>
    <w:lvl w:ilvl="0" w:tplc="0C0A0003">
      <w:start w:val="1"/>
      <w:numFmt w:val="bullet"/>
      <w:lvlText w:val="o"/>
      <w:lvlJc w:val="left"/>
      <w:pPr>
        <w:ind w:left="501" w:hanging="360"/>
      </w:pPr>
      <w:rPr>
        <w:rFonts w:ascii="Courier New" w:hAnsi="Courier New" w:cs="Courier New"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15:restartNumberingAfterBreak="0">
    <w:nsid w:val="1BAC5E75"/>
    <w:multiLevelType w:val="multilevel"/>
    <w:tmpl w:val="E53A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134FB"/>
    <w:multiLevelType w:val="multilevel"/>
    <w:tmpl w:val="9FF6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C3508B"/>
    <w:multiLevelType w:val="multilevel"/>
    <w:tmpl w:val="5C80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053A7"/>
    <w:multiLevelType w:val="multilevel"/>
    <w:tmpl w:val="F89E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0496E"/>
    <w:multiLevelType w:val="hybridMultilevel"/>
    <w:tmpl w:val="A6A48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FA364C"/>
    <w:multiLevelType w:val="multilevel"/>
    <w:tmpl w:val="637C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12132"/>
    <w:multiLevelType w:val="multilevel"/>
    <w:tmpl w:val="7872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7634E"/>
    <w:multiLevelType w:val="hybridMultilevel"/>
    <w:tmpl w:val="DF6E3BA2"/>
    <w:lvl w:ilvl="0" w:tplc="0C0A0003">
      <w:start w:val="1"/>
      <w:numFmt w:val="bullet"/>
      <w:lvlText w:val="o"/>
      <w:lvlJc w:val="left"/>
      <w:pPr>
        <w:ind w:left="1494" w:hanging="360"/>
      </w:pPr>
      <w:rPr>
        <w:rFonts w:ascii="Courier New" w:hAnsi="Courier New" w:cs="Courier New"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15:restartNumberingAfterBreak="0">
    <w:nsid w:val="43695C23"/>
    <w:multiLevelType w:val="hybridMultilevel"/>
    <w:tmpl w:val="EA8A2CCA"/>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15" w15:restartNumberingAfterBreak="0">
    <w:nsid w:val="44786A81"/>
    <w:multiLevelType w:val="multilevel"/>
    <w:tmpl w:val="68B4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D2A18"/>
    <w:multiLevelType w:val="hybridMultilevel"/>
    <w:tmpl w:val="3CEA3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6110E1"/>
    <w:multiLevelType w:val="multilevel"/>
    <w:tmpl w:val="6956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7E4340"/>
    <w:multiLevelType w:val="hybridMultilevel"/>
    <w:tmpl w:val="5A14146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980F26"/>
    <w:multiLevelType w:val="hybridMultilevel"/>
    <w:tmpl w:val="AB1855A8"/>
    <w:lvl w:ilvl="0" w:tplc="0C0A0003">
      <w:start w:val="1"/>
      <w:numFmt w:val="bullet"/>
      <w:lvlText w:val="o"/>
      <w:lvlJc w:val="left"/>
      <w:pPr>
        <w:ind w:left="735" w:hanging="360"/>
      </w:pPr>
      <w:rPr>
        <w:rFonts w:ascii="Courier New" w:hAnsi="Courier New" w:cs="Courier New"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20" w15:restartNumberingAfterBreak="0">
    <w:nsid w:val="52D85FD2"/>
    <w:multiLevelType w:val="hybridMultilevel"/>
    <w:tmpl w:val="933CF8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5A84E34"/>
    <w:multiLevelType w:val="multilevel"/>
    <w:tmpl w:val="C1185BA0"/>
    <w:lvl w:ilvl="0">
      <w:start w:val="12"/>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55F72CF4"/>
    <w:multiLevelType w:val="multilevel"/>
    <w:tmpl w:val="7F82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920C5"/>
    <w:multiLevelType w:val="hybridMultilevel"/>
    <w:tmpl w:val="BE9E29B2"/>
    <w:lvl w:ilvl="0" w:tplc="0C0A0003">
      <w:start w:val="1"/>
      <w:numFmt w:val="bullet"/>
      <w:lvlText w:val="o"/>
      <w:lvlJc w:val="left"/>
      <w:pPr>
        <w:ind w:left="501" w:hanging="360"/>
      </w:pPr>
      <w:rPr>
        <w:rFonts w:ascii="Courier New" w:hAnsi="Courier New" w:cs="Courier New"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24" w15:restartNumberingAfterBreak="0">
    <w:nsid w:val="695F3169"/>
    <w:multiLevelType w:val="multilevel"/>
    <w:tmpl w:val="AF96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92DF2"/>
    <w:multiLevelType w:val="hybridMultilevel"/>
    <w:tmpl w:val="77D6EB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CB538B8"/>
    <w:multiLevelType w:val="multilevel"/>
    <w:tmpl w:val="4DEE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26334"/>
    <w:multiLevelType w:val="hybridMultilevel"/>
    <w:tmpl w:val="FD0662C4"/>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E3C53E8"/>
    <w:multiLevelType w:val="multilevel"/>
    <w:tmpl w:val="7106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6D4189"/>
    <w:multiLevelType w:val="hybridMultilevel"/>
    <w:tmpl w:val="DE5607E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97B250B"/>
    <w:multiLevelType w:val="hybridMultilevel"/>
    <w:tmpl w:val="92681318"/>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7F2B774D"/>
    <w:multiLevelType w:val="multilevel"/>
    <w:tmpl w:val="4308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3"/>
  </w:num>
  <w:num w:numId="4">
    <w:abstractNumId w:val="0"/>
  </w:num>
  <w:num w:numId="5">
    <w:abstractNumId w:val="3"/>
  </w:num>
  <w:num w:numId="6">
    <w:abstractNumId w:val="4"/>
  </w:num>
  <w:num w:numId="7">
    <w:abstractNumId w:val="27"/>
  </w:num>
  <w:num w:numId="8">
    <w:abstractNumId w:val="21"/>
  </w:num>
  <w:num w:numId="9">
    <w:abstractNumId w:val="25"/>
  </w:num>
  <w:num w:numId="10">
    <w:abstractNumId w:val="2"/>
  </w:num>
  <w:num w:numId="11">
    <w:abstractNumId w:val="16"/>
  </w:num>
  <w:num w:numId="12">
    <w:abstractNumId w:val="30"/>
  </w:num>
  <w:num w:numId="13">
    <w:abstractNumId w:val="19"/>
  </w:num>
  <w:num w:numId="14">
    <w:abstractNumId w:val="18"/>
  </w:num>
  <w:num w:numId="15">
    <w:abstractNumId w:val="29"/>
  </w:num>
  <w:num w:numId="16">
    <w:abstractNumId w:val="1"/>
  </w:num>
  <w:num w:numId="17">
    <w:abstractNumId w:val="5"/>
  </w:num>
  <w:num w:numId="18">
    <w:abstractNumId w:val="23"/>
  </w:num>
  <w:num w:numId="19">
    <w:abstractNumId w:val="11"/>
  </w:num>
  <w:num w:numId="20">
    <w:abstractNumId w:val="6"/>
  </w:num>
  <w:num w:numId="21">
    <w:abstractNumId w:val="22"/>
  </w:num>
  <w:num w:numId="22">
    <w:abstractNumId w:val="26"/>
  </w:num>
  <w:num w:numId="23">
    <w:abstractNumId w:val="9"/>
  </w:num>
  <w:num w:numId="24">
    <w:abstractNumId w:val="17"/>
  </w:num>
  <w:num w:numId="25">
    <w:abstractNumId w:val="8"/>
  </w:num>
  <w:num w:numId="26">
    <w:abstractNumId w:val="7"/>
  </w:num>
  <w:num w:numId="27">
    <w:abstractNumId w:val="24"/>
  </w:num>
  <w:num w:numId="28">
    <w:abstractNumId w:val="12"/>
  </w:num>
  <w:num w:numId="29">
    <w:abstractNumId w:val="31"/>
  </w:num>
  <w:num w:numId="30">
    <w:abstractNumId w:val="28"/>
  </w:num>
  <w:num w:numId="31">
    <w:abstractNumId w:val="1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409"/>
    <w:rsid w:val="000024BB"/>
    <w:rsid w:val="00004424"/>
    <w:rsid w:val="0000715D"/>
    <w:rsid w:val="00016595"/>
    <w:rsid w:val="00033CB1"/>
    <w:rsid w:val="000351AC"/>
    <w:rsid w:val="00053398"/>
    <w:rsid w:val="000672B9"/>
    <w:rsid w:val="000867A0"/>
    <w:rsid w:val="000B2E2C"/>
    <w:rsid w:val="000C7FC7"/>
    <w:rsid w:val="000D0861"/>
    <w:rsid w:val="000F1F0B"/>
    <w:rsid w:val="00113F42"/>
    <w:rsid w:val="001346E3"/>
    <w:rsid w:val="00145DE9"/>
    <w:rsid w:val="00147DF8"/>
    <w:rsid w:val="001678A5"/>
    <w:rsid w:val="00183C87"/>
    <w:rsid w:val="00194F14"/>
    <w:rsid w:val="001A4AF1"/>
    <w:rsid w:val="001D4A47"/>
    <w:rsid w:val="001E003D"/>
    <w:rsid w:val="00206B7D"/>
    <w:rsid w:val="0021262B"/>
    <w:rsid w:val="00227109"/>
    <w:rsid w:val="0023032C"/>
    <w:rsid w:val="00251DF2"/>
    <w:rsid w:val="002631D0"/>
    <w:rsid w:val="00270F97"/>
    <w:rsid w:val="002946F7"/>
    <w:rsid w:val="002966D0"/>
    <w:rsid w:val="002A4639"/>
    <w:rsid w:val="002C0D4E"/>
    <w:rsid w:val="002D3232"/>
    <w:rsid w:val="002E2399"/>
    <w:rsid w:val="002F22AD"/>
    <w:rsid w:val="00326620"/>
    <w:rsid w:val="00327D4E"/>
    <w:rsid w:val="003375CB"/>
    <w:rsid w:val="003534F6"/>
    <w:rsid w:val="00355025"/>
    <w:rsid w:val="003658A7"/>
    <w:rsid w:val="00365D30"/>
    <w:rsid w:val="00372EFE"/>
    <w:rsid w:val="0038131A"/>
    <w:rsid w:val="003A09EE"/>
    <w:rsid w:val="003D298F"/>
    <w:rsid w:val="003E282C"/>
    <w:rsid w:val="003E55E5"/>
    <w:rsid w:val="00421283"/>
    <w:rsid w:val="00423D65"/>
    <w:rsid w:val="004C63DC"/>
    <w:rsid w:val="004D5E42"/>
    <w:rsid w:val="005003F9"/>
    <w:rsid w:val="00536876"/>
    <w:rsid w:val="0054694F"/>
    <w:rsid w:val="00551713"/>
    <w:rsid w:val="005562B3"/>
    <w:rsid w:val="00577BFA"/>
    <w:rsid w:val="005857B9"/>
    <w:rsid w:val="00586E08"/>
    <w:rsid w:val="005A4ED3"/>
    <w:rsid w:val="005A5034"/>
    <w:rsid w:val="005D05F7"/>
    <w:rsid w:val="005E3484"/>
    <w:rsid w:val="005E3CC8"/>
    <w:rsid w:val="005E5A67"/>
    <w:rsid w:val="00615E0D"/>
    <w:rsid w:val="00652DC7"/>
    <w:rsid w:val="00656F21"/>
    <w:rsid w:val="00687F84"/>
    <w:rsid w:val="00692D70"/>
    <w:rsid w:val="006A2F7C"/>
    <w:rsid w:val="006A70AC"/>
    <w:rsid w:val="006B38F1"/>
    <w:rsid w:val="006E0278"/>
    <w:rsid w:val="006E1A06"/>
    <w:rsid w:val="006F3FAF"/>
    <w:rsid w:val="007202DF"/>
    <w:rsid w:val="00723E84"/>
    <w:rsid w:val="007313E8"/>
    <w:rsid w:val="0079196F"/>
    <w:rsid w:val="007A5F2F"/>
    <w:rsid w:val="007A7BD9"/>
    <w:rsid w:val="007B4178"/>
    <w:rsid w:val="007E5E8E"/>
    <w:rsid w:val="007F41DF"/>
    <w:rsid w:val="007F7CE3"/>
    <w:rsid w:val="00806691"/>
    <w:rsid w:val="008112C8"/>
    <w:rsid w:val="00822358"/>
    <w:rsid w:val="0082380C"/>
    <w:rsid w:val="008377B7"/>
    <w:rsid w:val="00844F3F"/>
    <w:rsid w:val="008453AE"/>
    <w:rsid w:val="008502B5"/>
    <w:rsid w:val="008532CA"/>
    <w:rsid w:val="008618E2"/>
    <w:rsid w:val="00862636"/>
    <w:rsid w:val="00891605"/>
    <w:rsid w:val="008C670D"/>
    <w:rsid w:val="008D5E01"/>
    <w:rsid w:val="008D66B7"/>
    <w:rsid w:val="00905AC6"/>
    <w:rsid w:val="00927416"/>
    <w:rsid w:val="009334DD"/>
    <w:rsid w:val="00950F25"/>
    <w:rsid w:val="0095645E"/>
    <w:rsid w:val="009645AD"/>
    <w:rsid w:val="0097335C"/>
    <w:rsid w:val="00973920"/>
    <w:rsid w:val="00983292"/>
    <w:rsid w:val="009A4884"/>
    <w:rsid w:val="009C1AD6"/>
    <w:rsid w:val="009C22DE"/>
    <w:rsid w:val="009C7960"/>
    <w:rsid w:val="009E03BE"/>
    <w:rsid w:val="009F3B11"/>
    <w:rsid w:val="00A037FE"/>
    <w:rsid w:val="00A11CFC"/>
    <w:rsid w:val="00A169C6"/>
    <w:rsid w:val="00A27B77"/>
    <w:rsid w:val="00A35509"/>
    <w:rsid w:val="00A35534"/>
    <w:rsid w:val="00A524A9"/>
    <w:rsid w:val="00A741DE"/>
    <w:rsid w:val="00A82B82"/>
    <w:rsid w:val="00A84803"/>
    <w:rsid w:val="00AC1E75"/>
    <w:rsid w:val="00AC5D79"/>
    <w:rsid w:val="00B0054D"/>
    <w:rsid w:val="00B00B64"/>
    <w:rsid w:val="00B13E4E"/>
    <w:rsid w:val="00B17B49"/>
    <w:rsid w:val="00B27B95"/>
    <w:rsid w:val="00B35EF4"/>
    <w:rsid w:val="00B7569D"/>
    <w:rsid w:val="00B92B3B"/>
    <w:rsid w:val="00BB6E64"/>
    <w:rsid w:val="00BD1BCD"/>
    <w:rsid w:val="00C07764"/>
    <w:rsid w:val="00C155E5"/>
    <w:rsid w:val="00C2366E"/>
    <w:rsid w:val="00C251DF"/>
    <w:rsid w:val="00C2624C"/>
    <w:rsid w:val="00C27071"/>
    <w:rsid w:val="00C60F19"/>
    <w:rsid w:val="00C6402F"/>
    <w:rsid w:val="00C73CA0"/>
    <w:rsid w:val="00C81AA1"/>
    <w:rsid w:val="00C90E1A"/>
    <w:rsid w:val="00CA31E9"/>
    <w:rsid w:val="00CA65C9"/>
    <w:rsid w:val="00CB6CD9"/>
    <w:rsid w:val="00CC1DE6"/>
    <w:rsid w:val="00CD0D62"/>
    <w:rsid w:val="00CE03B1"/>
    <w:rsid w:val="00CE349C"/>
    <w:rsid w:val="00CF32F2"/>
    <w:rsid w:val="00D34B74"/>
    <w:rsid w:val="00D46327"/>
    <w:rsid w:val="00D537E4"/>
    <w:rsid w:val="00D65B32"/>
    <w:rsid w:val="00D72F06"/>
    <w:rsid w:val="00D83801"/>
    <w:rsid w:val="00D93BB3"/>
    <w:rsid w:val="00DA1E44"/>
    <w:rsid w:val="00DE7B22"/>
    <w:rsid w:val="00DF497F"/>
    <w:rsid w:val="00DF6E7F"/>
    <w:rsid w:val="00E0323D"/>
    <w:rsid w:val="00E13A48"/>
    <w:rsid w:val="00E240D6"/>
    <w:rsid w:val="00E72730"/>
    <w:rsid w:val="00EA319B"/>
    <w:rsid w:val="00ED5B9E"/>
    <w:rsid w:val="00ED6409"/>
    <w:rsid w:val="00EE7D01"/>
    <w:rsid w:val="00EF1A83"/>
    <w:rsid w:val="00F1062B"/>
    <w:rsid w:val="00F11E21"/>
    <w:rsid w:val="00F15E54"/>
    <w:rsid w:val="00F355C7"/>
    <w:rsid w:val="00F36FD2"/>
    <w:rsid w:val="00F45940"/>
    <w:rsid w:val="00F523F4"/>
    <w:rsid w:val="00F62CE4"/>
    <w:rsid w:val="00F6415F"/>
    <w:rsid w:val="00F641CE"/>
    <w:rsid w:val="00F84408"/>
    <w:rsid w:val="00F97D35"/>
    <w:rsid w:val="00FA09F8"/>
    <w:rsid w:val="00FA328B"/>
    <w:rsid w:val="00FB0574"/>
    <w:rsid w:val="00FC0668"/>
    <w:rsid w:val="00FC1C47"/>
    <w:rsid w:val="00FC5D8C"/>
    <w:rsid w:val="00FD30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EF42"/>
  <w15:chartTrackingRefBased/>
  <w15:docId w15:val="{53B4B0EE-41A9-4B73-BD8F-FB50126F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409"/>
  </w:style>
  <w:style w:type="paragraph" w:styleId="Ttulo1">
    <w:name w:val="heading 1"/>
    <w:basedOn w:val="Normal"/>
    <w:next w:val="Normal"/>
    <w:link w:val="Ttulo1Car"/>
    <w:uiPriority w:val="9"/>
    <w:qFormat/>
    <w:rsid w:val="00ED64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D64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D640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D640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D640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D64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64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64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640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640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D640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D640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D640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D640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D640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640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640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6409"/>
    <w:rPr>
      <w:rFonts w:eastAsiaTheme="majorEastAsia" w:cstheme="majorBidi"/>
      <w:color w:val="272727" w:themeColor="text1" w:themeTint="D8"/>
    </w:rPr>
  </w:style>
  <w:style w:type="paragraph" w:styleId="Ttulo">
    <w:name w:val="Title"/>
    <w:basedOn w:val="Normal"/>
    <w:next w:val="Normal"/>
    <w:link w:val="TtuloCar"/>
    <w:uiPriority w:val="10"/>
    <w:qFormat/>
    <w:rsid w:val="00ED6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64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640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640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6409"/>
    <w:pPr>
      <w:spacing w:before="160"/>
      <w:jc w:val="center"/>
    </w:pPr>
    <w:rPr>
      <w:i/>
      <w:iCs/>
      <w:color w:val="404040" w:themeColor="text1" w:themeTint="BF"/>
    </w:rPr>
  </w:style>
  <w:style w:type="character" w:customStyle="1" w:styleId="CitaCar">
    <w:name w:val="Cita Car"/>
    <w:basedOn w:val="Fuentedeprrafopredeter"/>
    <w:link w:val="Cita"/>
    <w:uiPriority w:val="29"/>
    <w:rsid w:val="00ED6409"/>
    <w:rPr>
      <w:i/>
      <w:iCs/>
      <w:color w:val="404040" w:themeColor="text1" w:themeTint="BF"/>
    </w:rPr>
  </w:style>
  <w:style w:type="paragraph" w:styleId="Prrafodelista">
    <w:name w:val="List Paragraph"/>
    <w:basedOn w:val="Normal"/>
    <w:uiPriority w:val="34"/>
    <w:qFormat/>
    <w:rsid w:val="00ED6409"/>
    <w:pPr>
      <w:ind w:left="720"/>
      <w:contextualSpacing/>
    </w:pPr>
  </w:style>
  <w:style w:type="character" w:styleId="nfasisintenso">
    <w:name w:val="Intense Emphasis"/>
    <w:basedOn w:val="Fuentedeprrafopredeter"/>
    <w:uiPriority w:val="21"/>
    <w:qFormat/>
    <w:rsid w:val="00ED6409"/>
    <w:rPr>
      <w:i/>
      <w:iCs/>
      <w:color w:val="2F5496" w:themeColor="accent1" w:themeShade="BF"/>
    </w:rPr>
  </w:style>
  <w:style w:type="paragraph" w:styleId="Citadestacada">
    <w:name w:val="Intense Quote"/>
    <w:basedOn w:val="Normal"/>
    <w:next w:val="Normal"/>
    <w:link w:val="CitadestacadaCar"/>
    <w:uiPriority w:val="30"/>
    <w:qFormat/>
    <w:rsid w:val="00ED64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D6409"/>
    <w:rPr>
      <w:i/>
      <w:iCs/>
      <w:color w:val="2F5496" w:themeColor="accent1" w:themeShade="BF"/>
    </w:rPr>
  </w:style>
  <w:style w:type="character" w:styleId="Referenciaintensa">
    <w:name w:val="Intense Reference"/>
    <w:basedOn w:val="Fuentedeprrafopredeter"/>
    <w:uiPriority w:val="32"/>
    <w:qFormat/>
    <w:rsid w:val="00ED6409"/>
    <w:rPr>
      <w:b/>
      <w:bCs/>
      <w:smallCaps/>
      <w:color w:val="2F5496" w:themeColor="accent1" w:themeShade="BF"/>
      <w:spacing w:val="5"/>
    </w:rPr>
  </w:style>
  <w:style w:type="paragraph" w:styleId="NormalWeb">
    <w:name w:val="Normal (Web)"/>
    <w:basedOn w:val="Normal"/>
    <w:uiPriority w:val="99"/>
    <w:unhideWhenUsed/>
    <w:rsid w:val="00ED640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D6409"/>
    <w:rPr>
      <w:b/>
      <w:bCs/>
    </w:rPr>
  </w:style>
  <w:style w:type="character" w:styleId="Hipervnculo">
    <w:name w:val="Hyperlink"/>
    <w:basedOn w:val="Fuentedeprrafopredeter"/>
    <w:uiPriority w:val="99"/>
    <w:unhideWhenUsed/>
    <w:rsid w:val="00ED6409"/>
    <w:rPr>
      <w:color w:val="0000FF"/>
      <w:u w:val="single"/>
    </w:rPr>
  </w:style>
  <w:style w:type="paragraph" w:styleId="Sinespaciado">
    <w:name w:val="No Spacing"/>
    <w:uiPriority w:val="1"/>
    <w:qFormat/>
    <w:rsid w:val="00ED6409"/>
    <w:pPr>
      <w:spacing w:after="0" w:line="240" w:lineRule="auto"/>
    </w:pPr>
  </w:style>
  <w:style w:type="character" w:styleId="Textodelmarcadordeposicin">
    <w:name w:val="Placeholder Text"/>
    <w:basedOn w:val="Fuentedeprrafopredeter"/>
    <w:uiPriority w:val="99"/>
    <w:semiHidden/>
    <w:rsid w:val="00B35EF4"/>
    <w:rPr>
      <w:color w:val="666666"/>
    </w:rPr>
  </w:style>
  <w:style w:type="paragraph" w:styleId="Encabezado">
    <w:name w:val="header"/>
    <w:basedOn w:val="Normal"/>
    <w:link w:val="EncabezadoCar"/>
    <w:uiPriority w:val="99"/>
    <w:unhideWhenUsed/>
    <w:rsid w:val="00113F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3F42"/>
  </w:style>
  <w:style w:type="paragraph" w:styleId="Piedepgina">
    <w:name w:val="footer"/>
    <w:basedOn w:val="Normal"/>
    <w:link w:val="PiedepginaCar"/>
    <w:uiPriority w:val="99"/>
    <w:unhideWhenUsed/>
    <w:rsid w:val="00113F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3F42"/>
  </w:style>
  <w:style w:type="character" w:customStyle="1" w:styleId="Mencinsinresolver1">
    <w:name w:val="Mención sin resolver1"/>
    <w:basedOn w:val="Fuentedeprrafopredeter"/>
    <w:uiPriority w:val="99"/>
    <w:semiHidden/>
    <w:unhideWhenUsed/>
    <w:rsid w:val="00355025"/>
    <w:rPr>
      <w:color w:val="605E5C"/>
      <w:shd w:val="clear" w:color="auto" w:fill="E1DFDD"/>
    </w:rPr>
  </w:style>
  <w:style w:type="character" w:styleId="Hipervnculovisitado">
    <w:name w:val="FollowedHyperlink"/>
    <w:basedOn w:val="Fuentedeprrafopredeter"/>
    <w:uiPriority w:val="99"/>
    <w:semiHidden/>
    <w:unhideWhenUsed/>
    <w:rsid w:val="00A82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umaia.pt/pt/eventos/VII-cimeira" TargetMode="External"/><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hyperlink" Target="https://www.fap-alc-ue.com/" TargetMode="External"/><Relationship Id="rId14" Type="http://schemas.openxmlformats.org/officeDocument/2006/relationships/image" Target="media/image5.jpeg"/><Relationship Id="rId22" Type="http://schemas.openxmlformats.org/officeDocument/2006/relationships/hyperlink" Target="https://www.umaia.pt/pt" TargetMode="Externa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forms.office.com/Pages/ResponsePage.aspx?id=MsnffGCPuEmuUvJZbziX6Hte68vmGf5Pr51juUSkbDdUQ1dZSVhFVUE4NlBXOU82NUdERzA4U1ZUTy4u"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hyperlink" Target="https://www.upt.pt/" TargetMode="External"/><Relationship Id="rId4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36DB-E3FF-441F-93FF-4DA0BB50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2492</Words>
  <Characters>13712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Casanueva</dc:creator>
  <cp:keywords/>
  <dc:description/>
  <cp:lastModifiedBy>Pablo Garcia Aguirre</cp:lastModifiedBy>
  <cp:revision>2</cp:revision>
  <cp:lastPrinted>2026-07-06T14:11:00Z</cp:lastPrinted>
  <dcterms:created xsi:type="dcterms:W3CDTF">2026-07-21T18:02:00Z</dcterms:created>
  <dcterms:modified xsi:type="dcterms:W3CDTF">2026-07-21T18:02:00Z</dcterms:modified>
</cp:coreProperties>
</file>